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color w:val="auto"/>
          <w:kern w:val="0"/>
          <w:sz w:val="32"/>
          <w:szCs w:val="32"/>
          <w:highlight w:val="none"/>
          <w:lang w:val="en-US" w:eastAsia="zh-CN"/>
        </w:rPr>
      </w:pPr>
      <w:bookmarkStart w:id="4" w:name="_GoBack"/>
      <w:bookmarkEnd w:id="4"/>
      <w:r>
        <w:rPr>
          <w:rFonts w:hint="eastAsia" w:ascii="黑体" w:hAnsi="黑体" w:eastAsia="黑体" w:cs="黑体"/>
          <w:b w:val="0"/>
          <w:bCs/>
          <w:color w:val="auto"/>
          <w:kern w:val="0"/>
          <w:sz w:val="32"/>
          <w:szCs w:val="32"/>
          <w:highlight w:val="none"/>
          <w:lang w:eastAsia="zh-CN"/>
        </w:rPr>
        <w:t>附件</w:t>
      </w:r>
      <w:r>
        <w:rPr>
          <w:rFonts w:hint="eastAsia" w:ascii="黑体" w:hAnsi="黑体" w:eastAsia="黑体" w:cs="黑体"/>
          <w:b w:val="0"/>
          <w:bCs/>
          <w:color w:val="auto"/>
          <w:kern w:val="0"/>
          <w:sz w:val="32"/>
          <w:szCs w:val="32"/>
          <w:highlight w:val="none"/>
          <w:lang w:val="en-US" w:eastAsia="zh-CN"/>
        </w:rPr>
        <w:t>4：</w:t>
      </w:r>
    </w:p>
    <w:p>
      <w:pPr>
        <w:spacing w:line="540" w:lineRule="exact"/>
        <w:rPr>
          <w:rFonts w:eastAsia="华文中宋"/>
          <w:b/>
          <w:color w:val="auto"/>
          <w:kern w:val="0"/>
          <w:sz w:val="72"/>
          <w:szCs w:val="72"/>
          <w:highlight w:val="none"/>
        </w:rPr>
      </w:pPr>
    </w:p>
    <w:p>
      <w:pPr>
        <w:spacing w:line="540" w:lineRule="exact"/>
        <w:jc w:val="center"/>
        <w:rPr>
          <w:rFonts w:eastAsia="华文中宋"/>
          <w:b/>
          <w:color w:val="auto"/>
          <w:kern w:val="0"/>
          <w:sz w:val="52"/>
          <w:szCs w:val="52"/>
          <w:highlight w:val="none"/>
        </w:rPr>
      </w:pPr>
    </w:p>
    <w:p>
      <w:pPr>
        <w:spacing w:line="540" w:lineRule="exact"/>
        <w:jc w:val="center"/>
        <w:rPr>
          <w:rFonts w:eastAsia="华文中宋"/>
          <w:b/>
          <w:color w:val="auto"/>
          <w:kern w:val="0"/>
          <w:sz w:val="52"/>
          <w:szCs w:val="52"/>
          <w:highlight w:val="none"/>
        </w:rPr>
      </w:pPr>
    </w:p>
    <w:p>
      <w:pPr>
        <w:spacing w:line="540" w:lineRule="exact"/>
        <w:jc w:val="center"/>
        <w:rPr>
          <w:rFonts w:eastAsia="方正小标宋_GBK"/>
          <w:color w:val="auto"/>
          <w:kern w:val="0"/>
          <w:sz w:val="48"/>
          <w:szCs w:val="48"/>
          <w:highlight w:val="none"/>
        </w:rPr>
      </w:pPr>
      <w:r>
        <w:rPr>
          <w:rFonts w:hint="eastAsia" w:eastAsia="方正小标宋_GBK"/>
          <w:color w:val="auto"/>
          <w:kern w:val="0"/>
          <w:sz w:val="48"/>
          <w:szCs w:val="48"/>
          <w:highlight w:val="none"/>
          <w:lang w:eastAsia="zh-CN"/>
        </w:rPr>
        <w:t>自治区</w:t>
      </w:r>
      <w:r>
        <w:rPr>
          <w:rFonts w:eastAsia="方正小标宋_GBK"/>
          <w:color w:val="auto"/>
          <w:kern w:val="0"/>
          <w:sz w:val="48"/>
          <w:szCs w:val="48"/>
          <w:highlight w:val="none"/>
        </w:rPr>
        <w:t>资金项目支出绩效评价</w:t>
      </w:r>
    </w:p>
    <w:p>
      <w:pPr>
        <w:spacing w:line="540" w:lineRule="exact"/>
        <w:jc w:val="center"/>
        <w:rPr>
          <w:rFonts w:eastAsia="方正小标宋_GBK"/>
          <w:color w:val="auto"/>
          <w:kern w:val="0"/>
          <w:sz w:val="48"/>
          <w:szCs w:val="48"/>
          <w:highlight w:val="none"/>
        </w:rPr>
      </w:pPr>
      <w:r>
        <w:rPr>
          <w:rFonts w:eastAsia="方正小标宋_GBK"/>
          <w:color w:val="auto"/>
          <w:kern w:val="0"/>
          <w:sz w:val="48"/>
          <w:szCs w:val="48"/>
          <w:highlight w:val="none"/>
        </w:rPr>
        <w:t>报告</w:t>
      </w:r>
    </w:p>
    <w:p>
      <w:pPr>
        <w:spacing w:line="540" w:lineRule="exact"/>
        <w:jc w:val="center"/>
        <w:rPr>
          <w:rFonts w:eastAsia="华文中宋"/>
          <w:b/>
          <w:color w:val="auto"/>
          <w:kern w:val="0"/>
          <w:sz w:val="52"/>
          <w:szCs w:val="52"/>
          <w:highlight w:val="none"/>
        </w:rPr>
      </w:pPr>
    </w:p>
    <w:p>
      <w:pPr>
        <w:spacing w:line="540" w:lineRule="exact"/>
        <w:jc w:val="center"/>
        <w:rPr>
          <w:rFonts w:eastAsia="仿宋_GB2312"/>
          <w:color w:val="auto"/>
          <w:kern w:val="0"/>
          <w:sz w:val="36"/>
          <w:szCs w:val="36"/>
          <w:highlight w:val="none"/>
        </w:rPr>
      </w:pPr>
      <w:r>
        <w:rPr>
          <w:rFonts w:eastAsia="仿宋_GB2312"/>
          <w:color w:val="auto"/>
          <w:kern w:val="0"/>
          <w:sz w:val="36"/>
          <w:szCs w:val="36"/>
          <w:highlight w:val="none"/>
        </w:rPr>
        <w:t>（ 202</w:t>
      </w:r>
      <w:r>
        <w:rPr>
          <w:rFonts w:hint="eastAsia" w:eastAsia="仿宋_GB2312"/>
          <w:color w:val="auto"/>
          <w:kern w:val="0"/>
          <w:sz w:val="36"/>
          <w:szCs w:val="36"/>
          <w:highlight w:val="none"/>
          <w:lang w:val="en-US" w:eastAsia="zh-CN"/>
        </w:rPr>
        <w:t>4</w:t>
      </w:r>
      <w:r>
        <w:rPr>
          <w:rFonts w:eastAsia="仿宋_GB2312"/>
          <w:color w:val="auto"/>
          <w:kern w:val="0"/>
          <w:sz w:val="36"/>
          <w:szCs w:val="36"/>
          <w:highlight w:val="none"/>
        </w:rPr>
        <w:t>年度）</w:t>
      </w:r>
    </w:p>
    <w:p>
      <w:pPr>
        <w:spacing w:line="700" w:lineRule="exact"/>
        <w:jc w:val="left"/>
        <w:rPr>
          <w:rFonts w:eastAsia="仿宋_GB2312"/>
          <w:color w:val="auto"/>
          <w:kern w:val="0"/>
          <w:sz w:val="36"/>
          <w:szCs w:val="36"/>
          <w:highlight w:val="none"/>
        </w:rPr>
      </w:pPr>
    </w:p>
    <w:p>
      <w:pPr>
        <w:spacing w:line="700" w:lineRule="exact"/>
        <w:ind w:firstLine="1440" w:firstLineChars="400"/>
        <w:jc w:val="left"/>
        <w:rPr>
          <w:rFonts w:eastAsia="仿宋_GB2312"/>
          <w:color w:val="auto"/>
          <w:kern w:val="0"/>
          <w:sz w:val="36"/>
          <w:szCs w:val="36"/>
          <w:highlight w:val="none"/>
        </w:rPr>
      </w:pPr>
    </w:p>
    <w:p>
      <w:pPr>
        <w:spacing w:line="700" w:lineRule="exact"/>
        <w:ind w:left="3236" w:leftChars="684" w:hanging="1800" w:hangingChars="500"/>
        <w:jc w:val="left"/>
        <w:rPr>
          <w:rFonts w:hint="eastAsia" w:eastAsia="仿宋_GB2312"/>
          <w:color w:val="auto"/>
          <w:kern w:val="0"/>
          <w:sz w:val="36"/>
          <w:szCs w:val="36"/>
          <w:highlight w:val="none"/>
          <w:lang w:val="en-US" w:eastAsia="zh-CN"/>
        </w:rPr>
      </w:pPr>
      <w:r>
        <w:rPr>
          <w:rFonts w:eastAsia="仿宋_GB2312"/>
          <w:color w:val="auto"/>
          <w:kern w:val="0"/>
          <w:sz w:val="36"/>
          <w:szCs w:val="36"/>
          <w:highlight w:val="none"/>
        </w:rPr>
        <w:t>项目名称：</w:t>
      </w:r>
      <w:r>
        <w:rPr>
          <w:rFonts w:hint="eastAsia" w:hAnsi="宋体" w:eastAsia="仿宋_GB2312" w:cs="宋体"/>
          <w:color w:val="auto"/>
          <w:kern w:val="0"/>
          <w:sz w:val="36"/>
          <w:szCs w:val="36"/>
          <w:highlight w:val="none"/>
          <w:shd w:val="clear" w:color="auto" w:fill="FFFFFF"/>
        </w:rPr>
        <w:t>自治区动物防疫等补助资金（动物疫病防控与检测培训、疫苗物资储备管理补助、生物药品补助经费）</w:t>
      </w:r>
    </w:p>
    <w:p>
      <w:pPr>
        <w:ind w:left="4676" w:leftChars="684" w:hanging="3240" w:hangingChars="900"/>
        <w:rPr>
          <w:rFonts w:hint="eastAsia" w:hAnsi="宋体" w:eastAsia="仿宋_GB2312" w:cs="宋体"/>
          <w:color w:val="auto"/>
          <w:kern w:val="0"/>
          <w:sz w:val="36"/>
          <w:szCs w:val="36"/>
          <w:highlight w:val="none"/>
          <w:shd w:val="clear" w:color="auto" w:fill="FFFFFF"/>
          <w:lang w:eastAsia="zh-CN"/>
        </w:rPr>
      </w:pPr>
      <w:r>
        <w:rPr>
          <w:rFonts w:eastAsia="仿宋_GB2312"/>
          <w:color w:val="auto"/>
          <w:kern w:val="0"/>
          <w:sz w:val="36"/>
          <w:szCs w:val="36"/>
          <w:highlight w:val="none"/>
        </w:rPr>
        <w:t>实施单位（公章）：</w:t>
      </w:r>
      <w:r>
        <w:rPr>
          <w:rFonts w:hint="eastAsia" w:hAnsi="宋体" w:eastAsia="仿宋_GB2312" w:cs="宋体"/>
          <w:color w:val="auto"/>
          <w:kern w:val="0"/>
          <w:sz w:val="36"/>
          <w:szCs w:val="36"/>
          <w:highlight w:val="none"/>
          <w:shd w:val="clear" w:color="auto" w:fill="FFFFFF"/>
          <w:lang w:val="en-US" w:eastAsia="zh-CN"/>
        </w:rPr>
        <w:t>自治区动物疫病预防控制中心</w:t>
      </w:r>
    </w:p>
    <w:p>
      <w:pPr>
        <w:spacing w:line="700" w:lineRule="exact"/>
        <w:ind w:firstLine="1440" w:firstLineChars="400"/>
        <w:jc w:val="left"/>
        <w:rPr>
          <w:rFonts w:hAnsi="宋体" w:eastAsia="仿宋_GB2312" w:cs="宋体"/>
          <w:color w:val="auto"/>
          <w:kern w:val="0"/>
          <w:sz w:val="36"/>
          <w:szCs w:val="36"/>
          <w:highlight w:val="none"/>
        </w:rPr>
      </w:pPr>
      <w:r>
        <w:rPr>
          <w:rFonts w:eastAsia="仿宋_GB2312"/>
          <w:color w:val="auto"/>
          <w:kern w:val="0"/>
          <w:sz w:val="36"/>
          <w:szCs w:val="36"/>
          <w:highlight w:val="none"/>
        </w:rPr>
        <w:t>主管部门（公章）：</w:t>
      </w:r>
      <w:r>
        <w:rPr>
          <w:rFonts w:hint="eastAsia" w:ascii="仿宋_GB2312" w:hAnsi="宋体" w:eastAsia="仿宋_GB2312" w:cs="宋体"/>
          <w:color w:val="auto"/>
          <w:kern w:val="0"/>
          <w:sz w:val="36"/>
          <w:szCs w:val="36"/>
          <w:highlight w:val="none"/>
          <w:lang w:eastAsia="zh-CN"/>
        </w:rPr>
        <w:t>农业农村厅</w:t>
      </w:r>
      <w:r>
        <w:rPr>
          <w:rFonts w:hAnsi="宋体" w:eastAsia="仿宋_GB2312" w:cs="宋体"/>
          <w:color w:val="auto"/>
          <w:kern w:val="0"/>
          <w:sz w:val="36"/>
          <w:szCs w:val="36"/>
          <w:highlight w:val="none"/>
          <w:shd w:val="clear" w:color="auto" w:fill="FFFFFF"/>
        </w:rPr>
        <w:fldChar w:fldCharType="begin">
          <w:fldData xml:space="preserve">MgA0ADMAOQAzAEEANgA1ADAAQwA5ADIANABGADUARQBBADkAMQA0ADQAQQA4ADQAMgA3ADQAQwBD
ADEAMAAyAA==
</w:fldData>
        </w:fldChar>
      </w:r>
      <w:r>
        <w:rPr>
          <w:rFonts w:hAnsi="宋体" w:eastAsia="仿宋_GB2312" w:cs="宋体"/>
          <w:color w:val="auto"/>
          <w:kern w:val="0"/>
          <w:sz w:val="36"/>
          <w:szCs w:val="36"/>
          <w:highlight w:val="none"/>
          <w:shd w:val="clear" w:color="auto" w:fill="FFFFFF"/>
        </w:rPr>
        <w:instrText xml:space="preserve">Addin 部门名称</w:instrText>
      </w:r>
      <w:r>
        <w:rPr>
          <w:rFonts w:hAnsi="宋体" w:eastAsia="仿宋_GB2312" w:cs="宋体"/>
          <w:color w:val="auto"/>
          <w:kern w:val="0"/>
          <w:sz w:val="36"/>
          <w:szCs w:val="36"/>
          <w:highlight w:val="none"/>
          <w:shd w:val="clear" w:color="auto" w:fill="FFFFFF"/>
        </w:rPr>
        <w:fldChar w:fldCharType="separate"/>
      </w:r>
      <w:r>
        <w:rPr>
          <w:rFonts w:hAnsi="宋体" w:eastAsia="仿宋_GB2312" w:cs="宋体"/>
          <w:color w:val="auto"/>
          <w:kern w:val="0"/>
          <w:sz w:val="36"/>
          <w:szCs w:val="36"/>
          <w:highlight w:val="none"/>
          <w:shd w:val="clear" w:color="auto" w:fill="FFFFFF"/>
        </w:rPr>
        <w:fldChar w:fldCharType="end"/>
      </w:r>
    </w:p>
    <w:p>
      <w:pPr>
        <w:spacing w:line="700" w:lineRule="exact"/>
        <w:ind w:firstLine="1440" w:firstLineChars="400"/>
        <w:jc w:val="left"/>
        <w:rPr>
          <w:rFonts w:hint="eastAsia" w:eastAsia="仿宋_GB2312"/>
          <w:color w:val="auto"/>
          <w:kern w:val="0"/>
          <w:sz w:val="36"/>
          <w:szCs w:val="36"/>
          <w:highlight w:val="none"/>
        </w:rPr>
      </w:pPr>
      <w:r>
        <w:rPr>
          <w:rFonts w:eastAsia="仿宋_GB2312"/>
          <w:color w:val="auto"/>
          <w:kern w:val="0"/>
          <w:sz w:val="36"/>
          <w:szCs w:val="36"/>
          <w:highlight w:val="none"/>
        </w:rPr>
        <w:t>项目负责人（签章）：</w:t>
      </w:r>
      <w:r>
        <w:rPr>
          <w:rFonts w:hint="eastAsia" w:eastAsia="仿宋_GB2312"/>
          <w:color w:val="auto"/>
          <w:kern w:val="0"/>
          <w:sz w:val="36"/>
          <w:szCs w:val="36"/>
          <w:highlight w:val="none"/>
        </w:rPr>
        <w:t>古丽曼·木哈买提拜</w:t>
      </w:r>
    </w:p>
    <w:p>
      <w:pPr>
        <w:spacing w:line="700" w:lineRule="exact"/>
        <w:ind w:firstLine="1440" w:firstLineChars="400"/>
        <w:jc w:val="left"/>
        <w:rPr>
          <w:rFonts w:eastAsia="仿宋_GB2312"/>
          <w:color w:val="auto"/>
          <w:kern w:val="0"/>
          <w:sz w:val="36"/>
          <w:szCs w:val="36"/>
          <w:highlight w:val="none"/>
        </w:rPr>
      </w:pPr>
      <w:r>
        <w:rPr>
          <w:rFonts w:eastAsia="仿宋_GB2312"/>
          <w:color w:val="auto"/>
          <w:kern w:val="0"/>
          <w:sz w:val="36"/>
          <w:szCs w:val="36"/>
          <w:highlight w:val="none"/>
        </w:rPr>
        <w:t>填报时间：</w:t>
      </w:r>
      <w:r>
        <w:rPr>
          <w:rFonts w:hint="eastAsia" w:eastAsia="仿宋_GB2312"/>
          <w:color w:val="auto"/>
          <w:kern w:val="0"/>
          <w:sz w:val="36"/>
          <w:szCs w:val="36"/>
          <w:highlight w:val="none"/>
          <w:lang w:val="en-US" w:eastAsia="zh-CN"/>
        </w:rPr>
        <w:t>2025</w:t>
      </w:r>
      <w:r>
        <w:rPr>
          <w:rFonts w:eastAsia="仿宋_GB2312"/>
          <w:color w:val="auto"/>
          <w:kern w:val="0"/>
          <w:sz w:val="36"/>
          <w:szCs w:val="36"/>
          <w:highlight w:val="none"/>
        </w:rPr>
        <w:t>年</w:t>
      </w:r>
      <w:r>
        <w:rPr>
          <w:rFonts w:hint="eastAsia" w:eastAsia="仿宋_GB2312"/>
          <w:color w:val="auto"/>
          <w:kern w:val="0"/>
          <w:sz w:val="36"/>
          <w:szCs w:val="36"/>
          <w:highlight w:val="none"/>
          <w:lang w:val="en-US" w:eastAsia="zh-CN"/>
        </w:rPr>
        <w:t>2</w:t>
      </w:r>
      <w:r>
        <w:rPr>
          <w:rFonts w:eastAsia="仿宋_GB2312"/>
          <w:color w:val="auto"/>
          <w:kern w:val="0"/>
          <w:sz w:val="36"/>
          <w:szCs w:val="36"/>
          <w:highlight w:val="none"/>
        </w:rPr>
        <w:t>月</w:t>
      </w:r>
      <w:r>
        <w:rPr>
          <w:rFonts w:hint="eastAsia" w:eastAsia="仿宋_GB2312"/>
          <w:color w:val="auto"/>
          <w:kern w:val="0"/>
          <w:sz w:val="36"/>
          <w:szCs w:val="36"/>
          <w:highlight w:val="none"/>
          <w:lang w:val="en-US" w:eastAsia="zh-CN"/>
        </w:rPr>
        <w:t>20</w:t>
      </w:r>
      <w:r>
        <w:rPr>
          <w:rFonts w:eastAsia="仿宋_GB2312"/>
          <w:color w:val="auto"/>
          <w:kern w:val="0"/>
          <w:sz w:val="36"/>
          <w:szCs w:val="36"/>
          <w:highlight w:val="none"/>
        </w:rPr>
        <w:t>日</w:t>
      </w:r>
    </w:p>
    <w:p>
      <w:pPr>
        <w:spacing w:line="540" w:lineRule="exact"/>
        <w:jc w:val="center"/>
        <w:rPr>
          <w:rFonts w:eastAsia="仿宋_GB2312"/>
          <w:color w:val="auto"/>
          <w:kern w:val="0"/>
          <w:sz w:val="30"/>
          <w:szCs w:val="30"/>
          <w:highlight w:val="none"/>
        </w:rPr>
      </w:pPr>
    </w:p>
    <w:p>
      <w:pPr>
        <w:spacing w:line="540" w:lineRule="exact"/>
        <w:rPr>
          <w:rStyle w:val="25"/>
          <w:rFonts w:eastAsia="黑体"/>
          <w:b w:val="0"/>
          <w:color w:val="auto"/>
          <w:spacing w:val="-4"/>
          <w:sz w:val="32"/>
          <w:szCs w:val="32"/>
          <w:highlight w:val="none"/>
        </w:rPr>
      </w:pPr>
    </w:p>
    <w:p>
      <w:pPr>
        <w:spacing w:line="540" w:lineRule="exact"/>
        <w:ind w:firstLine="640"/>
        <w:rPr>
          <w:rStyle w:val="25"/>
          <w:rFonts w:eastAsia="黑体"/>
          <w:b w:val="0"/>
          <w:color w:val="auto"/>
          <w:spacing w:val="-4"/>
          <w:sz w:val="32"/>
          <w:szCs w:val="32"/>
          <w:highlight w:val="none"/>
        </w:rPr>
      </w:pPr>
    </w:p>
    <w:p>
      <w:pPr>
        <w:pStyle w:val="2"/>
        <w:rPr>
          <w:color w:val="auto"/>
        </w:rPr>
      </w:pPr>
    </w:p>
    <w:p>
      <w:pPr>
        <w:pStyle w:val="3"/>
        <w:numPr>
          <w:ilvl w:val="0"/>
          <w:numId w:val="0"/>
        </w:numPr>
        <w:ind w:left="1680" w:leftChars="0"/>
        <w:rPr>
          <w:color w:val="auto"/>
        </w:rPr>
      </w:pPr>
    </w:p>
    <w:p>
      <w:pPr>
        <w:spacing w:line="600" w:lineRule="exact"/>
        <w:rPr>
          <w:rFonts w:eastAsia="黑体"/>
          <w:bCs/>
          <w:color w:val="auto"/>
          <w:sz w:val="32"/>
          <w:szCs w:val="32"/>
          <w:highlight w:val="none"/>
        </w:rPr>
      </w:pPr>
      <w:r>
        <w:rPr>
          <w:rFonts w:eastAsia="黑体"/>
          <w:bCs/>
          <w:color w:val="auto"/>
          <w:sz w:val="32"/>
          <w:szCs w:val="32"/>
          <w:highlight w:val="none"/>
        </w:rPr>
        <w:t>一、基本情况</w:t>
      </w:r>
    </w:p>
    <w:p>
      <w:pPr>
        <w:spacing w:line="600" w:lineRule="exact"/>
        <w:ind w:firstLine="641"/>
        <w:rPr>
          <w:rFonts w:eastAsia="楷体_GB2312"/>
          <w:b/>
          <w:bCs/>
          <w:color w:val="auto"/>
          <w:sz w:val="32"/>
          <w:szCs w:val="32"/>
          <w:highlight w:val="none"/>
        </w:rPr>
      </w:pPr>
      <w:r>
        <w:rPr>
          <w:rFonts w:eastAsia="楷体_GB2312"/>
          <w:b/>
          <w:bCs/>
          <w:color w:val="auto"/>
          <w:sz w:val="32"/>
          <w:szCs w:val="32"/>
          <w:highlight w:val="none"/>
        </w:rPr>
        <w:t>（一）项目概况</w:t>
      </w:r>
    </w:p>
    <w:p>
      <w:pPr>
        <w:spacing w:line="600" w:lineRule="exact"/>
        <w:ind w:firstLine="641"/>
        <w:rPr>
          <w:rFonts w:eastAsia="仿宋_GB2312"/>
          <w:b/>
          <w:bCs/>
          <w:color w:val="auto"/>
          <w:sz w:val="32"/>
          <w:szCs w:val="32"/>
          <w:highlight w:val="none"/>
        </w:rPr>
      </w:pPr>
      <w:r>
        <w:rPr>
          <w:rFonts w:eastAsia="仿宋_GB2312"/>
          <w:b/>
          <w:bCs/>
          <w:color w:val="auto"/>
          <w:sz w:val="32"/>
          <w:szCs w:val="32"/>
          <w:highlight w:val="none"/>
        </w:rPr>
        <w:t>1、项目背景</w:t>
      </w:r>
    </w:p>
    <w:p>
      <w:pPr>
        <w:spacing w:line="540" w:lineRule="exact"/>
        <w:ind w:firstLine="640"/>
        <w:rPr>
          <w:rStyle w:val="25"/>
          <w:rFonts w:ascii="楷体" w:hAnsi="楷体" w:eastAsia="楷体"/>
          <w:color w:val="auto"/>
          <w:spacing w:val="-4"/>
          <w:sz w:val="32"/>
          <w:szCs w:val="32"/>
          <w:highlight w:val="none"/>
        </w:rPr>
      </w:pPr>
      <w:r>
        <w:rPr>
          <w:rStyle w:val="25"/>
          <w:rFonts w:hint="eastAsia" w:ascii="楷体" w:hAnsi="楷体" w:eastAsia="楷体"/>
          <w:color w:val="auto"/>
          <w:spacing w:val="-4"/>
          <w:sz w:val="32"/>
          <w:szCs w:val="32"/>
          <w:highlight w:val="none"/>
        </w:rPr>
        <w:t>（</w:t>
      </w:r>
      <w:r>
        <w:rPr>
          <w:rStyle w:val="25"/>
          <w:rFonts w:hint="eastAsia" w:ascii="楷体" w:hAnsi="楷体" w:eastAsia="楷体"/>
          <w:color w:val="auto"/>
          <w:spacing w:val="-4"/>
          <w:sz w:val="32"/>
          <w:szCs w:val="32"/>
          <w:highlight w:val="none"/>
          <w:lang w:val="en-US" w:eastAsia="zh-CN"/>
        </w:rPr>
        <w:t>1</w:t>
      </w:r>
      <w:r>
        <w:rPr>
          <w:rStyle w:val="25"/>
          <w:rFonts w:hint="eastAsia" w:ascii="楷体" w:hAnsi="楷体" w:eastAsia="楷体"/>
          <w:color w:val="auto"/>
          <w:spacing w:val="-4"/>
          <w:sz w:val="32"/>
          <w:szCs w:val="32"/>
          <w:highlight w:val="none"/>
        </w:rPr>
        <w:t>）项目单位基本情况</w:t>
      </w:r>
    </w:p>
    <w:p>
      <w:pPr>
        <w:adjustRightInd w:val="0"/>
        <w:snapToGrid w:val="0"/>
        <w:spacing w:line="560" w:lineRule="exact"/>
        <w:ind w:firstLine="640" w:firstLineChars="200"/>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自治区动物卫生监督所（动物疾病预防与控制中心）截至202</w:t>
      </w:r>
      <w:r>
        <w:rPr>
          <w:rFonts w:hint="eastAsia"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rPr>
        <w:t>年12月</w:t>
      </w:r>
      <w:r>
        <w:rPr>
          <w:rFonts w:hint="eastAsia" w:ascii="Times New Roman" w:hAnsi="Times New Roman" w:eastAsia="仿宋_GB2312" w:cs="Times New Roman"/>
          <w:color w:val="auto"/>
          <w:sz w:val="32"/>
          <w:szCs w:val="32"/>
          <w:highlight w:val="none"/>
          <w:lang w:val="en-US" w:eastAsia="zh-CN"/>
        </w:rPr>
        <w:t>31</w:t>
      </w:r>
      <w:r>
        <w:rPr>
          <w:rFonts w:hint="eastAsia" w:ascii="Times New Roman" w:hAnsi="Times New Roman" w:eastAsia="仿宋_GB2312" w:cs="Times New Roman"/>
          <w:color w:val="auto"/>
          <w:sz w:val="32"/>
          <w:szCs w:val="32"/>
          <w:highlight w:val="none"/>
        </w:rPr>
        <w:t>日，人员编制为</w:t>
      </w:r>
      <w:r>
        <w:rPr>
          <w:rFonts w:hint="eastAsia" w:eastAsia="仿宋_GB2312" w:cs="Times New Roman"/>
          <w:color w:val="auto"/>
          <w:sz w:val="32"/>
          <w:szCs w:val="32"/>
          <w:highlight w:val="none"/>
          <w:lang w:val="en-US" w:eastAsia="zh-CN"/>
        </w:rPr>
        <w:t>146</w:t>
      </w:r>
      <w:r>
        <w:rPr>
          <w:rFonts w:hint="eastAsia" w:ascii="Times New Roman" w:hAnsi="Times New Roman" w:eastAsia="仿宋_GB2312" w:cs="Times New Roman"/>
          <w:color w:val="auto"/>
          <w:sz w:val="32"/>
          <w:szCs w:val="32"/>
          <w:highlight w:val="none"/>
        </w:rPr>
        <w:t>人，现有在职人员</w:t>
      </w:r>
      <w:r>
        <w:rPr>
          <w:rFonts w:hint="eastAsia" w:eastAsia="仿宋_GB2312" w:cs="Times New Roman"/>
          <w:color w:val="auto"/>
          <w:sz w:val="32"/>
          <w:szCs w:val="32"/>
          <w:highlight w:val="none"/>
          <w:lang w:val="en-US" w:eastAsia="zh-CN"/>
        </w:rPr>
        <w:t>130</w:t>
      </w:r>
      <w:r>
        <w:rPr>
          <w:rFonts w:hint="eastAsia" w:ascii="Times New Roman" w:hAnsi="Times New Roman" w:eastAsia="仿宋_GB2312" w:cs="Times New Roman"/>
          <w:color w:val="auto"/>
          <w:sz w:val="32"/>
          <w:szCs w:val="32"/>
          <w:highlight w:val="none"/>
        </w:rPr>
        <w:t>人，离退休人员</w:t>
      </w:r>
      <w:r>
        <w:rPr>
          <w:rFonts w:hint="eastAsia" w:eastAsia="仿宋_GB2312" w:cs="Times New Roman"/>
          <w:color w:val="auto"/>
          <w:sz w:val="32"/>
          <w:szCs w:val="32"/>
          <w:highlight w:val="none"/>
          <w:lang w:val="en-US" w:eastAsia="zh-CN"/>
        </w:rPr>
        <w:t>141</w:t>
      </w:r>
      <w:r>
        <w:rPr>
          <w:rFonts w:hint="eastAsia" w:ascii="Times New Roman" w:hAnsi="Times New Roman" w:eastAsia="仿宋_GB2312" w:cs="Times New Roman"/>
          <w:color w:val="auto"/>
          <w:sz w:val="32"/>
          <w:szCs w:val="32"/>
          <w:highlight w:val="none"/>
        </w:rPr>
        <w:t>人，专业技术人员</w:t>
      </w:r>
      <w:r>
        <w:rPr>
          <w:rFonts w:hint="eastAsia" w:eastAsia="仿宋_GB2312" w:cs="Times New Roman"/>
          <w:color w:val="auto"/>
          <w:sz w:val="32"/>
          <w:szCs w:val="32"/>
          <w:highlight w:val="none"/>
          <w:lang w:val="en-US" w:eastAsia="zh-CN"/>
        </w:rPr>
        <w:t>117</w:t>
      </w:r>
      <w:r>
        <w:rPr>
          <w:rFonts w:hint="eastAsia" w:ascii="Times New Roman" w:hAnsi="Times New Roman" w:eastAsia="仿宋_GB2312" w:cs="Times New Roman"/>
          <w:color w:val="auto"/>
          <w:sz w:val="32"/>
          <w:szCs w:val="32"/>
          <w:highlight w:val="none"/>
        </w:rPr>
        <w:t>人，占总人数的</w:t>
      </w:r>
      <w:r>
        <w:rPr>
          <w:rFonts w:hint="eastAsia" w:eastAsia="仿宋_GB2312" w:cs="Times New Roman"/>
          <w:color w:val="auto"/>
          <w:sz w:val="32"/>
          <w:szCs w:val="32"/>
          <w:highlight w:val="none"/>
          <w:lang w:val="en-US" w:eastAsia="zh-CN"/>
        </w:rPr>
        <w:t>90</w:t>
      </w:r>
      <w:r>
        <w:rPr>
          <w:rFonts w:hint="eastAsia" w:ascii="Times New Roman" w:hAnsi="Times New Roman" w:eastAsia="仿宋_GB2312" w:cs="Times New Roman"/>
          <w:color w:val="auto"/>
          <w:sz w:val="32"/>
          <w:szCs w:val="32"/>
          <w:highlight w:val="none"/>
        </w:rPr>
        <w:t>%。</w:t>
      </w:r>
      <w:bookmarkStart w:id="0" w:name="OLE_LINK1"/>
      <w:r>
        <w:rPr>
          <w:rFonts w:hint="eastAsia" w:ascii="Times New Roman" w:hAnsi="Times New Roman" w:eastAsia="仿宋_GB2312" w:cs="Times New Roman"/>
          <w:color w:val="auto"/>
          <w:sz w:val="32"/>
          <w:szCs w:val="32"/>
          <w:highlight w:val="none"/>
        </w:rPr>
        <w:t>设有</w:t>
      </w:r>
      <w:r>
        <w:rPr>
          <w:rFonts w:hint="eastAsia" w:ascii="Times New Roman" w:hAnsi="Times New Roman" w:eastAsia="仿宋_GB2312" w:cs="Times New Roman"/>
          <w:color w:val="auto"/>
          <w:sz w:val="32"/>
          <w:szCs w:val="32"/>
          <w:highlight w:val="none"/>
          <w:lang w:val="en-US" w:eastAsia="zh-CN"/>
        </w:rPr>
        <w:t>13</w:t>
      </w:r>
      <w:r>
        <w:rPr>
          <w:rFonts w:hint="eastAsia" w:ascii="Times New Roman" w:hAnsi="Times New Roman" w:eastAsia="仿宋_GB2312" w:cs="Times New Roman"/>
          <w:color w:val="auto"/>
          <w:sz w:val="32"/>
          <w:szCs w:val="32"/>
          <w:highlight w:val="none"/>
        </w:rPr>
        <w:t>个内设科室。</w:t>
      </w:r>
      <w:bookmarkEnd w:id="0"/>
    </w:p>
    <w:p>
      <w:pPr>
        <w:adjustRightInd w:val="0"/>
        <w:snapToGrid w:val="0"/>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Times New Roman" w:hAnsi="Times New Roman" w:eastAsia="仿宋_GB2312" w:cs="Times New Roman"/>
          <w:color w:val="auto"/>
          <w:sz w:val="32"/>
          <w:szCs w:val="32"/>
          <w:highlight w:val="none"/>
        </w:rPr>
        <w:t>单位的主要工作职能有：承担动物疫病的监测、检测、诊断、流行病学调查、疫情报告以及其他预防、控制等技术工作；承担动物疫病净化、消灭的技术工作；负责动物、动物产品的检疫工作；负责病死畜禽和病害畜禽产品无害化处理等技术工作；开展屠宰技术指导工作。</w:t>
      </w:r>
      <w:r>
        <w:rPr>
          <w:rFonts w:hint="eastAsia" w:ascii="仿宋_GB2312" w:hAnsi="仿宋" w:eastAsia="仿宋_GB2312"/>
          <w:color w:val="auto"/>
          <w:sz w:val="32"/>
          <w:szCs w:val="32"/>
          <w:highlight w:val="none"/>
          <w:lang w:val="en-US" w:eastAsia="zh-CN"/>
        </w:rPr>
        <w:t xml:space="preserve">    </w:t>
      </w:r>
    </w:p>
    <w:p>
      <w:pPr>
        <w:ind w:firstLine="645"/>
        <w:rPr>
          <w:rFonts w:hint="eastAsia" w:ascii="仿宋_GB2312" w:hAnsi="仿宋" w:eastAsia="仿宋_GB2312" w:cs="Times New Roman"/>
          <w:color w:val="auto"/>
          <w:sz w:val="32"/>
          <w:szCs w:val="32"/>
          <w:highlight w:val="none"/>
          <w:lang w:val="zh-CN" w:eastAsia="zh-CN"/>
        </w:rPr>
      </w:pPr>
      <w:r>
        <w:rPr>
          <w:rFonts w:hint="eastAsia" w:ascii="仿宋_GB2312" w:hAnsi="仿宋" w:eastAsia="仿宋_GB2312" w:cs="Times New Roman"/>
          <w:color w:val="auto"/>
          <w:sz w:val="32"/>
          <w:szCs w:val="32"/>
          <w:highlight w:val="none"/>
          <w:lang w:eastAsia="zh-CN"/>
        </w:rPr>
        <w:t>（</w:t>
      </w:r>
      <w:r>
        <w:rPr>
          <w:rFonts w:hint="eastAsia" w:ascii="仿宋_GB2312" w:hAnsi="仿宋" w:eastAsia="仿宋_GB2312" w:cs="Times New Roman"/>
          <w:color w:val="auto"/>
          <w:sz w:val="32"/>
          <w:szCs w:val="32"/>
          <w:highlight w:val="none"/>
          <w:lang w:val="en-US" w:eastAsia="zh-CN"/>
        </w:rPr>
        <w:t>2</w:t>
      </w:r>
      <w:r>
        <w:rPr>
          <w:rFonts w:hint="eastAsia" w:ascii="仿宋_GB2312" w:hAnsi="仿宋" w:eastAsia="仿宋_GB2312" w:cs="Times New Roman"/>
          <w:color w:val="auto"/>
          <w:sz w:val="32"/>
          <w:szCs w:val="32"/>
          <w:highlight w:val="none"/>
          <w:lang w:eastAsia="zh-CN"/>
        </w:rPr>
        <w:t>）</w:t>
      </w:r>
      <w:r>
        <w:rPr>
          <w:rFonts w:hint="eastAsia" w:ascii="仿宋_GB2312" w:hAnsi="仿宋" w:eastAsia="仿宋_GB2312" w:cs="Times New Roman"/>
          <w:color w:val="auto"/>
          <w:sz w:val="32"/>
          <w:szCs w:val="32"/>
          <w:highlight w:val="none"/>
          <w:lang w:val="zh-CN" w:eastAsia="zh-CN"/>
        </w:rPr>
        <w:t>项目立项背景</w:t>
      </w:r>
    </w:p>
    <w:p>
      <w:pPr>
        <w:ind w:firstLine="645"/>
        <w:rPr>
          <w:rFonts w:hint="eastAsia" w:ascii="仿宋_GB2312" w:hAnsi="仿宋" w:eastAsia="仿宋_GB2312" w:cs="Times New Roman"/>
          <w:color w:val="auto"/>
          <w:sz w:val="32"/>
          <w:szCs w:val="32"/>
          <w:highlight w:val="none"/>
          <w:lang w:val="en-US" w:eastAsia="zh-CN"/>
        </w:rPr>
      </w:pPr>
      <w:r>
        <w:rPr>
          <w:rFonts w:hint="eastAsia" w:ascii="仿宋_GB2312" w:hAnsi="仿宋" w:eastAsia="仿宋_GB2312" w:cs="Times New Roman"/>
          <w:color w:val="auto"/>
          <w:sz w:val="32"/>
          <w:szCs w:val="32"/>
          <w:highlight w:val="none"/>
          <w:lang w:val="en-US" w:eastAsia="zh-CN"/>
        </w:rPr>
        <w:t>动物防疫工作事关畜产品稳产保供、事关畜产品质量安全、事关养殖业健康发展。针对我国动物养殖业具有规模化程度低、行业分散的特征，近年来，国家相继出台了一系列动物防疫支持政策，有效保障了重大动物疫病防控工作，取得了较好的防控成效。《中华人民共和国动物防疫法》明确国家对动物疫病实行预防为主的方针，要求将动物疫病预防、控制、扑灭、检疫和监督管理所需经费纳入本级财政预算。</w:t>
      </w:r>
    </w:p>
    <w:p>
      <w:pPr>
        <w:ind w:firstLine="645"/>
        <w:rPr>
          <w:rFonts w:hint="eastAsia" w:ascii="仿宋_GB2312" w:hAnsi="仿宋" w:eastAsia="仿宋_GB2312" w:cs="Times New Roman"/>
          <w:color w:val="auto"/>
          <w:sz w:val="32"/>
          <w:szCs w:val="32"/>
          <w:highlight w:val="none"/>
          <w:lang w:val="en-US" w:eastAsia="zh-CN"/>
        </w:rPr>
      </w:pPr>
      <w:r>
        <w:rPr>
          <w:rFonts w:hint="eastAsia" w:ascii="仿宋_GB2312" w:hAnsi="仿宋" w:eastAsia="仿宋_GB2312" w:cs="Times New Roman"/>
          <w:color w:val="auto"/>
          <w:sz w:val="32"/>
          <w:szCs w:val="32"/>
          <w:highlight w:val="none"/>
          <w:lang w:val="en-US" w:eastAsia="zh-CN"/>
        </w:rPr>
        <w:t>“十四五”期间，全区畜牧业坚持生态化发展方向，坚持农牧结合、草畜配套，稳定发展牧区畜牧业，突出发展农区畜牧业，坚持走集约化、标准化、规模化的发展道路，着力夯基础、补短板、强弱项、优结构、促融合、壮主体、增动能，强化科技创新和政策支持，做大肉牛肉羊产业、加快奶业振兴、做优做强猪禽产业、因地制宜发展特色产业，积极推进适度规模经营，提升主要畜产品综合生产能力，构建科学合理、安全高效的畜产品供给保障体系，加快推进现代畜牧业发展。</w:t>
      </w:r>
    </w:p>
    <w:p>
      <w:pPr>
        <w:pStyle w:val="20"/>
        <w:numPr>
          <w:ilvl w:val="0"/>
          <w:numId w:val="2"/>
        </w:numPr>
        <w:spacing w:before="0" w:after="0" w:line="600" w:lineRule="exact"/>
        <w:ind w:firstLine="642" w:firstLineChars="200"/>
        <w:jc w:val="both"/>
        <w:rPr>
          <w:rFonts w:ascii="Times New Roman" w:hAnsi="Times New Roman" w:eastAsia="仿宋_GB2312"/>
          <w:color w:val="auto"/>
          <w:kern w:val="2"/>
          <w:highlight w:val="none"/>
        </w:rPr>
      </w:pPr>
      <w:r>
        <w:rPr>
          <w:rFonts w:ascii="Times New Roman" w:hAnsi="Times New Roman" w:eastAsia="仿宋_GB2312"/>
          <w:color w:val="auto"/>
          <w:kern w:val="2"/>
          <w:highlight w:val="none"/>
        </w:rPr>
        <w:t>项目主要内容：</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自治区动物防疫等补助资金（动物疫病防控与检测培训、疫苗物资储备管理补助、生物药品补助经费）共包括4项实施内容，即动物疫情检测、流行病学调查、兽医实验室鉴定监测及能力保障；</w:t>
      </w:r>
      <w:r>
        <w:rPr>
          <w:rFonts w:hint="eastAsia" w:ascii="宋体" w:hAnsi="宋体" w:eastAsia="宋体" w:cs="Times New Roman"/>
          <w:color w:val="auto"/>
          <w:kern w:val="2"/>
          <w:sz w:val="28"/>
          <w:szCs w:val="28"/>
          <w:lang w:val="en-US" w:eastAsia="zh-CN" w:bidi="ar-SA"/>
        </w:rPr>
        <w:t>疫苗、</w:t>
      </w:r>
      <w:r>
        <w:rPr>
          <w:rStyle w:val="25"/>
          <w:rFonts w:hint="eastAsia" w:ascii="仿宋" w:hAnsi="仿宋" w:eastAsia="仿宋" w:cs="Times New Roman"/>
          <w:b w:val="0"/>
          <w:bCs/>
          <w:color w:val="auto"/>
          <w:spacing w:val="-4"/>
          <w:sz w:val="32"/>
          <w:szCs w:val="32"/>
          <w:highlight w:val="none"/>
          <w:lang w:val="en-US" w:eastAsia="zh-CN"/>
        </w:rPr>
        <w:t>证章发放及质量评估监控管理；屠宰、检疫监管及技术指导和应急物资储备及储备管理。</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（1）动物疫情监测、流行病学调查、兽医实验室鉴定监测及能力保障626万。</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单位承担着动物疫病防控和重大动物疫情应急处置的技术指导和督导，对全区动物卫生监督业务工作进行指导和管理，管理应急防疫物资储备和应急反应专家队伍的建设，每年对全疆兽医实验室业务管理进行技术指导，负责对全区动物卫生监督、疫病防控工作的评估，负责动物疫情的预警预报，组织和实施兽医资格考试等工作。</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通过对非洲猪瘟、口蹄疫、禽流感、小反刍兽疫、高致病性猪蓝耳病、猪瘟、新城疫、牛结核、布鲁氏菌病、棘球蚴、狂犬病、马传贫、马鼻疽、猪伪狂犬、牛结节性皮肤病等十五种主要动物疫病进行监测，提升全疆动物疫病预防实验室的检测能力，形成动物疫情处理、预警预报，动物产品检疫和动物疫情追溯体系，为全疆动物疫病诊治、疫情监测提供准确的数据支撑；做到有效应对突发公共卫生事件，能迅速消灭动物疫病传染源，切断传播途径，大大提高动物疫病诊断工作效率，降低突发事件给人类带来的危害与损失，全面保障动物源食品安全，保护人民身体健康，维护社会稳定。</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（2）疫苗、证章质量评估、监控管理</w:t>
      </w:r>
      <w:r>
        <w:rPr>
          <w:rFonts w:hint="eastAsia" w:ascii="宋体" w:hAnsi="宋体" w:cs="Times New Roman"/>
          <w:color w:val="auto"/>
          <w:kern w:val="2"/>
          <w:sz w:val="28"/>
          <w:szCs w:val="28"/>
          <w:highlight w:val="none"/>
          <w:lang w:val="en-US" w:eastAsia="zh-CN" w:bidi="ar-SA"/>
        </w:rPr>
        <w:t>64</w:t>
      </w:r>
      <w:r>
        <w:rPr>
          <w:rFonts w:hint="eastAsia" w:ascii="宋体" w:hAnsi="宋体" w:eastAsia="宋体" w:cs="Times New Roman"/>
          <w:color w:val="auto"/>
          <w:kern w:val="2"/>
          <w:sz w:val="28"/>
          <w:szCs w:val="28"/>
          <w:highlight w:val="none"/>
          <w:lang w:val="en-US" w:eastAsia="zh-CN" w:bidi="ar-SA"/>
        </w:rPr>
        <w:t>万。</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保障疫苗冷藏运费及存储设备运行维护，确保疫苗运输、储存、发放过程的安全。2024年共计开展2次14个地（州、市）的免疫效价评估工作，每个地州选取2个县（市、区），每个县随机选择2个乡镇，每个乡镇选取2个行政村。</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通过证章发放及质量评估、监控管理，实现我区动物及动物产品100%凭证流通和溯源管理，确保我区动物及动物产品卫生安全和人民身体健康。</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（3）屠宰、检疫监管及技术指导</w:t>
      </w:r>
      <w:r>
        <w:rPr>
          <w:rFonts w:hint="eastAsia" w:ascii="宋体" w:hAnsi="宋体" w:cs="Times New Roman"/>
          <w:color w:val="auto"/>
          <w:kern w:val="2"/>
          <w:sz w:val="28"/>
          <w:szCs w:val="28"/>
          <w:highlight w:val="none"/>
          <w:lang w:val="en-US" w:eastAsia="zh-CN" w:bidi="ar-SA"/>
        </w:rPr>
        <w:t>30</w:t>
      </w:r>
      <w:r>
        <w:rPr>
          <w:rFonts w:hint="eastAsia" w:ascii="宋体" w:hAnsi="宋体" w:eastAsia="宋体" w:cs="Times New Roman"/>
          <w:color w:val="auto"/>
          <w:kern w:val="2"/>
          <w:sz w:val="28"/>
          <w:szCs w:val="28"/>
          <w:highlight w:val="none"/>
          <w:lang w:val="en-US" w:eastAsia="zh-CN" w:bidi="ar-SA"/>
        </w:rPr>
        <w:t>万</w:t>
      </w:r>
      <w:r>
        <w:rPr>
          <w:rStyle w:val="25"/>
          <w:rFonts w:hint="eastAsia" w:ascii="仿宋" w:hAnsi="仿宋" w:eastAsia="仿宋" w:cs="Times New Roman"/>
          <w:b w:val="0"/>
          <w:bCs/>
          <w:color w:val="auto"/>
          <w:spacing w:val="-4"/>
          <w:sz w:val="32"/>
          <w:szCs w:val="32"/>
          <w:highlight w:val="none"/>
          <w:lang w:val="en-US" w:eastAsia="zh-CN"/>
        </w:rPr>
        <w:t>。</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联合各地农业综合执法大队，组织专家及专业人员，对全疆14个地（州、市）35个县的重点屠宰厂（场、点）开展监督抽工作。检疫监管完善信息化监管手段，打通动物检疫合格证之间、动物及动物产品检疫合格证之间的关联，有效规范官方兽医的出证行为，通过实时推送动物及动物产品流通动态数据，确保流通落地监管到位。</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（4）应急物资储备及储备管理100万。</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default" w:ascii="仿宋" w:hAnsi="仿宋" w:eastAsia="仿宋" w:cs="Times New Roman"/>
          <w:b w:val="0"/>
          <w:bCs/>
          <w:color w:val="auto"/>
          <w:spacing w:val="-4"/>
          <w:sz w:val="32"/>
          <w:szCs w:val="32"/>
          <w:highlight w:val="none"/>
          <w:lang w:val="en-US" w:eastAsia="zh-CN"/>
        </w:rPr>
        <w:t>储备牛羊口蹄疫O、A二价灭活疫苗</w:t>
      </w:r>
      <w:r>
        <w:rPr>
          <w:rStyle w:val="25"/>
          <w:rFonts w:hint="eastAsia" w:ascii="仿宋" w:hAnsi="仿宋" w:eastAsia="仿宋" w:cs="Times New Roman"/>
          <w:b w:val="0"/>
          <w:bCs/>
          <w:color w:val="auto"/>
          <w:spacing w:val="-4"/>
          <w:sz w:val="32"/>
          <w:szCs w:val="32"/>
          <w:highlight w:val="none"/>
          <w:lang w:val="en-US" w:eastAsia="zh-CN"/>
        </w:rPr>
        <w:t>、</w:t>
      </w:r>
      <w:r>
        <w:rPr>
          <w:rStyle w:val="25"/>
          <w:rFonts w:hint="default" w:ascii="仿宋" w:hAnsi="仿宋" w:eastAsia="仿宋" w:cs="Times New Roman"/>
          <w:b w:val="0"/>
          <w:bCs/>
          <w:color w:val="auto"/>
          <w:spacing w:val="-4"/>
          <w:sz w:val="32"/>
          <w:szCs w:val="32"/>
          <w:highlight w:val="none"/>
          <w:lang w:val="en-US" w:eastAsia="zh-CN"/>
        </w:rPr>
        <w:t>禽流感H5+H7灭活疫苗，用于</w:t>
      </w:r>
      <w:r>
        <w:rPr>
          <w:rStyle w:val="25"/>
          <w:rFonts w:hint="eastAsia" w:ascii="仿宋" w:hAnsi="仿宋" w:eastAsia="仿宋" w:cs="Times New Roman"/>
          <w:b w:val="0"/>
          <w:bCs/>
          <w:color w:val="auto"/>
          <w:spacing w:val="-4"/>
          <w:sz w:val="32"/>
          <w:szCs w:val="32"/>
          <w:highlight w:val="none"/>
          <w:lang w:val="en-US" w:eastAsia="zh-CN"/>
        </w:rPr>
        <w:t>应急调拨，填补疫苗缺口</w:t>
      </w:r>
      <w:r>
        <w:rPr>
          <w:rStyle w:val="25"/>
          <w:rFonts w:hint="default" w:ascii="仿宋" w:hAnsi="仿宋" w:eastAsia="仿宋" w:cs="Times New Roman"/>
          <w:b w:val="0"/>
          <w:bCs/>
          <w:color w:val="auto"/>
          <w:spacing w:val="-4"/>
          <w:sz w:val="32"/>
          <w:szCs w:val="32"/>
          <w:highlight w:val="none"/>
          <w:lang w:val="en-US" w:eastAsia="zh-CN"/>
        </w:rPr>
        <w:t>；储备防护服及配套防护用品</w:t>
      </w:r>
      <w:r>
        <w:rPr>
          <w:rStyle w:val="25"/>
          <w:rFonts w:hint="eastAsia" w:ascii="仿宋" w:hAnsi="仿宋" w:eastAsia="仿宋" w:cs="Times New Roman"/>
          <w:b w:val="0"/>
          <w:bCs/>
          <w:color w:val="auto"/>
          <w:spacing w:val="-4"/>
          <w:sz w:val="32"/>
          <w:szCs w:val="32"/>
          <w:highlight w:val="none"/>
          <w:lang w:val="en-US" w:eastAsia="zh-CN"/>
        </w:rPr>
        <w:t>，用于诊断、应急处置的人员防护。同时保障应急物资储备（包括疫苗、防疫物资）储存、运输费。</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 xml:space="preserve">通过完善动物防疫物资储备建设项目，为新疆突发重大动物疫病预防和控制提供物资保障，快速、有效的控制重大动物疫病的发生和传播，显著提高重大动物疫病疫苗、物资等的应急能力，满足应对突发重大动物疫情应急需要，确保全区动物防疫以及应对突发重大动物疫情处置的物资保障。 </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项目实施周期：自治区动物防疫等补助资金（动物疫病防控与检测培训、疫苗物资储备管理补助、生物药品补助经费）实施期限为2024年1月1日-2024年12月31日，实施周期为1年。</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本项目总投资</w:t>
      </w:r>
      <w:r>
        <w:rPr>
          <w:rFonts w:hint="eastAsia" w:eastAsia="仿宋_GB2312"/>
          <w:color w:val="auto"/>
          <w:sz w:val="32"/>
          <w:szCs w:val="32"/>
          <w:highlight w:val="none"/>
          <w:lang w:val="en-US" w:eastAsia="zh-CN"/>
        </w:rPr>
        <w:t>820万元</w:t>
      </w:r>
      <w:r>
        <w:rPr>
          <w:rFonts w:eastAsia="仿宋_GB2312"/>
          <w:color w:val="auto"/>
          <w:sz w:val="32"/>
          <w:szCs w:val="32"/>
          <w:highlight w:val="none"/>
        </w:rPr>
        <w:t>，其中：财政本级资金</w:t>
      </w:r>
      <w:r>
        <w:rPr>
          <w:rFonts w:hint="eastAsia" w:eastAsia="仿宋_GB2312"/>
          <w:color w:val="auto"/>
          <w:sz w:val="32"/>
          <w:szCs w:val="32"/>
          <w:highlight w:val="none"/>
          <w:lang w:val="en-US" w:eastAsia="zh-CN"/>
        </w:rPr>
        <w:t>820万元</w:t>
      </w:r>
      <w:r>
        <w:rPr>
          <w:rFonts w:eastAsia="仿宋_GB2312"/>
          <w:color w:val="auto"/>
          <w:sz w:val="32"/>
          <w:szCs w:val="32"/>
          <w:highlight w:val="none"/>
        </w:rPr>
        <w:t>。项目实际支出</w:t>
      </w:r>
      <w:r>
        <w:rPr>
          <w:rFonts w:hint="eastAsia" w:eastAsia="仿宋_GB2312"/>
          <w:color w:val="auto"/>
          <w:sz w:val="32"/>
          <w:szCs w:val="32"/>
          <w:highlight w:val="none"/>
          <w:lang w:val="en-US" w:eastAsia="zh-CN"/>
        </w:rPr>
        <w:t>820万元</w:t>
      </w:r>
      <w:r>
        <w:rPr>
          <w:rFonts w:eastAsia="仿宋_GB2312"/>
          <w:color w:val="auto"/>
          <w:sz w:val="32"/>
          <w:szCs w:val="32"/>
          <w:highlight w:val="none"/>
        </w:rPr>
        <w:t>，支出率为100%。</w:t>
      </w:r>
    </w:p>
    <w:p>
      <w:pPr>
        <w:spacing w:line="600" w:lineRule="exact"/>
        <w:ind w:firstLine="642" w:firstLineChars="200"/>
        <w:rPr>
          <w:rFonts w:eastAsia="仿宋_GB2312"/>
          <w:b/>
          <w:bCs/>
          <w:color w:val="auto"/>
          <w:sz w:val="32"/>
          <w:szCs w:val="32"/>
          <w:highlight w:val="none"/>
        </w:rPr>
      </w:pPr>
      <w:r>
        <w:rPr>
          <w:rFonts w:eastAsia="仿宋_GB2312"/>
          <w:b/>
          <w:bCs/>
          <w:color w:val="auto"/>
          <w:sz w:val="32"/>
          <w:szCs w:val="32"/>
          <w:highlight w:val="none"/>
        </w:rPr>
        <w:t>3、资金投入和使用情况</w:t>
      </w:r>
    </w:p>
    <w:p>
      <w:pPr>
        <w:spacing w:line="600" w:lineRule="exact"/>
        <w:ind w:firstLine="640" w:firstLineChars="200"/>
        <w:rPr>
          <w:rFonts w:eastAsia="仿宋_GB2312"/>
          <w:color w:val="auto"/>
          <w:sz w:val="20"/>
          <w:szCs w:val="20"/>
          <w:highlight w:val="none"/>
        </w:rPr>
      </w:pPr>
      <w:r>
        <w:rPr>
          <w:rFonts w:eastAsia="仿宋_GB2312"/>
          <w:color w:val="auto"/>
          <w:sz w:val="32"/>
          <w:szCs w:val="32"/>
          <w:highlight w:val="none"/>
        </w:rPr>
        <w:t>（1）资金安排</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项目总投资</w:t>
      </w:r>
      <w:r>
        <w:rPr>
          <w:rFonts w:hint="eastAsia" w:eastAsia="仿宋_GB2312"/>
          <w:color w:val="auto"/>
          <w:sz w:val="32"/>
          <w:szCs w:val="32"/>
          <w:highlight w:val="none"/>
          <w:lang w:val="en-US" w:eastAsia="zh-CN"/>
        </w:rPr>
        <w:t>820万元</w:t>
      </w:r>
      <w:r>
        <w:rPr>
          <w:rFonts w:eastAsia="仿宋_GB2312"/>
          <w:color w:val="auto"/>
          <w:sz w:val="32"/>
          <w:szCs w:val="32"/>
          <w:highlight w:val="none"/>
        </w:rPr>
        <w:t>，按照单位财务制度等相关规定，资金支出符合</w:t>
      </w:r>
      <w:r>
        <w:rPr>
          <w:rFonts w:hint="eastAsia" w:eastAsia="仿宋_GB2312"/>
          <w:color w:val="auto"/>
          <w:sz w:val="32"/>
          <w:szCs w:val="32"/>
          <w:highlight w:val="none"/>
          <w:lang w:eastAsia="zh-CN"/>
        </w:rPr>
        <w:t>自治区</w:t>
      </w:r>
      <w:r>
        <w:rPr>
          <w:rFonts w:hint="eastAsia" w:eastAsia="仿宋_GB2312"/>
          <w:color w:val="auto"/>
          <w:sz w:val="32"/>
          <w:szCs w:val="32"/>
          <w:highlight w:val="none"/>
        </w:rPr>
        <w:t>动物防疫补助</w:t>
      </w:r>
      <w:r>
        <w:rPr>
          <w:rFonts w:eastAsia="仿宋_GB2312"/>
          <w:color w:val="auto"/>
          <w:sz w:val="32"/>
          <w:szCs w:val="32"/>
          <w:highlight w:val="none"/>
        </w:rPr>
        <w:t>专项资金费用范围，做到了专款专用。在项目资金拨付和使用过程中，为确保项目资金的安全性，提高项目资金使用效率，严格遵循</w:t>
      </w:r>
      <w:r>
        <w:rPr>
          <w:rFonts w:hint="eastAsia" w:eastAsia="仿宋_GB2312"/>
          <w:color w:val="auto"/>
          <w:sz w:val="32"/>
          <w:szCs w:val="32"/>
          <w:highlight w:val="none"/>
          <w:lang w:eastAsia="zh-CN"/>
        </w:rPr>
        <w:t>自治区</w:t>
      </w:r>
      <w:r>
        <w:rPr>
          <w:rFonts w:hint="eastAsia" w:eastAsia="仿宋_GB2312"/>
          <w:color w:val="auto"/>
          <w:sz w:val="32"/>
          <w:szCs w:val="32"/>
          <w:highlight w:val="none"/>
        </w:rPr>
        <w:t>动物防疫补助</w:t>
      </w:r>
      <w:r>
        <w:rPr>
          <w:rFonts w:eastAsia="仿宋_GB2312"/>
          <w:color w:val="auto"/>
          <w:sz w:val="32"/>
          <w:szCs w:val="32"/>
          <w:highlight w:val="none"/>
        </w:rPr>
        <w:t>资金的拨付程序，认真审核项目实施各阶段的相关材料和手续，根据项目实施进展情况拨付资金。</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（2）预算资金来源及使用情况</w:t>
      </w:r>
      <w:bookmarkStart w:id="1" w:name="page10"/>
      <w:bookmarkEnd w:id="1"/>
    </w:p>
    <w:p>
      <w:pPr>
        <w:pStyle w:val="20"/>
        <w:spacing w:before="0" w:after="0" w:line="600" w:lineRule="exact"/>
        <w:ind w:firstLine="640" w:firstLineChars="200"/>
        <w:jc w:val="both"/>
        <w:rPr>
          <w:rFonts w:ascii="Times New Roman" w:hAnsi="Times New Roman" w:eastAsia="仿宋_GB2312"/>
          <w:b w:val="0"/>
          <w:bCs w:val="0"/>
          <w:color w:val="auto"/>
          <w:kern w:val="2"/>
          <w:highlight w:val="none"/>
        </w:rPr>
      </w:pPr>
      <w:r>
        <w:rPr>
          <w:rFonts w:ascii="Times New Roman" w:hAnsi="Times New Roman" w:eastAsia="仿宋_GB2312"/>
          <w:b w:val="0"/>
          <w:bCs w:val="0"/>
          <w:color w:val="auto"/>
          <w:kern w:val="2"/>
          <w:highlight w:val="none"/>
        </w:rPr>
        <w:t>项目预算资金来源于财政本级资金</w:t>
      </w:r>
      <w:r>
        <w:rPr>
          <w:rFonts w:hint="eastAsia" w:ascii="Times New Roman" w:hAnsi="Times New Roman" w:eastAsia="仿宋_GB2312"/>
          <w:b w:val="0"/>
          <w:bCs w:val="0"/>
          <w:color w:val="auto"/>
          <w:kern w:val="2"/>
          <w:highlight w:val="none"/>
          <w:lang w:val="en-US" w:eastAsia="zh-CN"/>
        </w:rPr>
        <w:t>820万元</w:t>
      </w:r>
      <w:r>
        <w:rPr>
          <w:rFonts w:ascii="Times New Roman" w:hAnsi="Times New Roman" w:eastAsia="仿宋_GB2312"/>
          <w:b w:val="0"/>
          <w:bCs w:val="0"/>
          <w:color w:val="auto"/>
          <w:kern w:val="2"/>
          <w:highlight w:val="none"/>
        </w:rPr>
        <w:t>，项目资金到位</w:t>
      </w:r>
      <w:r>
        <w:rPr>
          <w:rFonts w:hint="eastAsia" w:ascii="Times New Roman" w:hAnsi="Times New Roman" w:eastAsia="仿宋_GB2312"/>
          <w:b w:val="0"/>
          <w:bCs w:val="0"/>
          <w:color w:val="auto"/>
          <w:kern w:val="2"/>
          <w:highlight w:val="none"/>
          <w:lang w:val="en-US" w:eastAsia="zh-CN"/>
        </w:rPr>
        <w:t>820万元</w:t>
      </w:r>
      <w:r>
        <w:rPr>
          <w:rFonts w:ascii="Times New Roman" w:hAnsi="Times New Roman" w:eastAsia="仿宋_GB2312"/>
          <w:b w:val="0"/>
          <w:bCs w:val="0"/>
          <w:color w:val="auto"/>
          <w:kern w:val="2"/>
          <w:highlight w:val="none"/>
        </w:rPr>
        <w:t>，</w:t>
      </w:r>
      <w:r>
        <w:rPr>
          <w:rFonts w:hint="eastAsia" w:ascii="Times New Roman" w:hAnsi="Times New Roman" w:eastAsia="仿宋_GB2312"/>
          <w:b w:val="0"/>
          <w:bCs w:val="0"/>
          <w:color w:val="auto"/>
          <w:kern w:val="2"/>
          <w:highlight w:val="none"/>
        </w:rPr>
        <w:t>全年执行</w:t>
      </w:r>
      <w:r>
        <w:rPr>
          <w:rFonts w:hint="eastAsia" w:ascii="Times New Roman" w:hAnsi="Times New Roman" w:eastAsia="仿宋_GB2312"/>
          <w:b w:val="0"/>
          <w:bCs w:val="0"/>
          <w:color w:val="auto"/>
          <w:kern w:val="2"/>
          <w:highlight w:val="none"/>
          <w:lang w:val="en-US" w:eastAsia="zh-CN"/>
        </w:rPr>
        <w:t>820万元</w:t>
      </w:r>
      <w:r>
        <w:rPr>
          <w:rFonts w:hint="eastAsia" w:ascii="Times New Roman" w:hAnsi="Times New Roman" w:eastAsia="仿宋_GB2312"/>
          <w:b w:val="0"/>
          <w:bCs w:val="0"/>
          <w:color w:val="auto"/>
          <w:kern w:val="2"/>
          <w:highlight w:val="none"/>
        </w:rPr>
        <w:t>，预算执行率为</w:t>
      </w:r>
      <w:r>
        <w:rPr>
          <w:rFonts w:hint="eastAsia" w:ascii="Times New Roman" w:hAnsi="Times New Roman" w:eastAsia="仿宋_GB2312"/>
          <w:b w:val="0"/>
          <w:bCs w:val="0"/>
          <w:color w:val="auto"/>
          <w:kern w:val="2"/>
          <w:highlight w:val="none"/>
          <w:lang w:val="en-US" w:eastAsia="zh-CN"/>
        </w:rPr>
        <w:t>100</w:t>
      </w:r>
      <w:r>
        <w:rPr>
          <w:rFonts w:ascii="Times New Roman" w:hAnsi="Times New Roman" w:eastAsia="仿宋_GB2312"/>
          <w:b w:val="0"/>
          <w:bCs w:val="0"/>
          <w:color w:val="auto"/>
          <w:kern w:val="2"/>
          <w:highlight w:val="none"/>
        </w:rPr>
        <w:t>%,</w:t>
      </w:r>
      <w:r>
        <w:rPr>
          <w:rFonts w:hint="eastAsia" w:ascii="Times New Roman" w:hAnsi="Times New Roman" w:eastAsia="仿宋_GB2312"/>
          <w:b w:val="0"/>
          <w:bCs w:val="0"/>
          <w:color w:val="auto"/>
          <w:kern w:val="2"/>
          <w:highlight w:val="none"/>
        </w:rPr>
        <w:t>主要</w:t>
      </w:r>
      <w:r>
        <w:rPr>
          <w:rFonts w:ascii="Times New Roman" w:hAnsi="Times New Roman" w:eastAsia="仿宋_GB2312"/>
          <w:b w:val="0"/>
          <w:bCs w:val="0"/>
          <w:color w:val="auto"/>
          <w:kern w:val="2"/>
          <w:highlight w:val="none"/>
        </w:rPr>
        <w:t>用于支付项目实施进程中的各项费用。</w:t>
      </w:r>
    </w:p>
    <w:p>
      <w:pPr>
        <w:spacing w:line="600" w:lineRule="exact"/>
        <w:ind w:firstLine="642" w:firstLineChars="200"/>
        <w:rPr>
          <w:rFonts w:eastAsia="楷体_GB2312"/>
          <w:b/>
          <w:bCs/>
          <w:color w:val="auto"/>
          <w:sz w:val="32"/>
          <w:szCs w:val="32"/>
          <w:highlight w:val="none"/>
        </w:rPr>
      </w:pPr>
      <w:r>
        <w:rPr>
          <w:rFonts w:eastAsia="楷体_GB2312"/>
          <w:b/>
          <w:bCs/>
          <w:color w:val="auto"/>
          <w:sz w:val="32"/>
          <w:szCs w:val="32"/>
          <w:highlight w:val="none"/>
        </w:rPr>
        <w:t>（二）项目绩效目标</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1、总体目标</w:t>
      </w:r>
    </w:p>
    <w:p>
      <w:pPr>
        <w:spacing w:line="600" w:lineRule="exact"/>
        <w:ind w:firstLine="624" w:firstLineChars="200"/>
        <w:rPr>
          <w:rFonts w:hint="eastAsia" w:ascii="仿宋_GB2312" w:eastAsia="仿宋_GB2312"/>
          <w:color w:val="auto"/>
          <w:sz w:val="32"/>
          <w:szCs w:val="32"/>
          <w:highlight w:val="none"/>
        </w:rPr>
      </w:pPr>
      <w:r>
        <w:rPr>
          <w:rStyle w:val="25"/>
          <w:rFonts w:hint="eastAsia" w:ascii="仿宋" w:hAnsi="仿宋" w:eastAsia="仿宋" w:cs="Times New Roman"/>
          <w:b w:val="0"/>
          <w:bCs/>
          <w:color w:val="auto"/>
          <w:spacing w:val="-4"/>
          <w:sz w:val="32"/>
          <w:szCs w:val="32"/>
          <w:highlight w:val="none"/>
        </w:rPr>
        <w:t>通过</w:t>
      </w:r>
      <w:r>
        <w:rPr>
          <w:rStyle w:val="25"/>
          <w:rFonts w:hint="eastAsia" w:ascii="仿宋" w:hAnsi="仿宋" w:eastAsia="仿宋" w:cs="Times New Roman"/>
          <w:b w:val="0"/>
          <w:bCs/>
          <w:color w:val="auto"/>
          <w:spacing w:val="-4"/>
          <w:sz w:val="32"/>
          <w:szCs w:val="32"/>
          <w:highlight w:val="none"/>
          <w:lang w:eastAsia="zh-CN"/>
        </w:rPr>
        <w:t>疫苗抗体效价监测，了解全区动物疫苗免疫情况，</w:t>
      </w:r>
      <w:r>
        <w:rPr>
          <w:rStyle w:val="25"/>
          <w:rFonts w:hint="eastAsia" w:ascii="仿宋" w:hAnsi="仿宋" w:eastAsia="仿宋" w:cs="Times New Roman"/>
          <w:b w:val="0"/>
          <w:bCs/>
          <w:color w:val="auto"/>
          <w:spacing w:val="-4"/>
          <w:sz w:val="32"/>
          <w:szCs w:val="32"/>
          <w:highlight w:val="none"/>
        </w:rPr>
        <w:t>对新疆区内主要动物疫病进行流行病学调查，了解新疆重大动物疫病、人畜共患病及外来动物疫病流行和分布现状，</w:t>
      </w:r>
      <w:r>
        <w:rPr>
          <w:rStyle w:val="25"/>
          <w:rFonts w:hint="eastAsia" w:ascii="仿宋" w:hAnsi="仿宋" w:eastAsia="仿宋" w:cs="Times New Roman"/>
          <w:b w:val="0"/>
          <w:bCs/>
          <w:color w:val="auto"/>
          <w:spacing w:val="-4"/>
          <w:sz w:val="32"/>
          <w:szCs w:val="32"/>
          <w:highlight w:val="none"/>
          <w:lang w:eastAsia="zh-CN"/>
        </w:rPr>
        <w:t>对基层防疫人员培训、兽医实验室能力评估</w:t>
      </w:r>
      <w:r>
        <w:rPr>
          <w:rStyle w:val="25"/>
          <w:rFonts w:hint="eastAsia" w:ascii="仿宋" w:hAnsi="仿宋" w:eastAsia="仿宋" w:cs="Times New Roman"/>
          <w:b w:val="0"/>
          <w:bCs/>
          <w:color w:val="auto"/>
          <w:spacing w:val="-4"/>
          <w:sz w:val="32"/>
          <w:szCs w:val="32"/>
          <w:highlight w:val="none"/>
        </w:rPr>
        <w:t>，进一步提</w:t>
      </w:r>
      <w:r>
        <w:rPr>
          <w:rStyle w:val="25"/>
          <w:rFonts w:hint="eastAsia" w:ascii="仿宋" w:hAnsi="仿宋" w:eastAsia="仿宋" w:cs="Times New Roman"/>
          <w:b w:val="0"/>
          <w:bCs/>
          <w:color w:val="auto"/>
          <w:spacing w:val="-4"/>
          <w:sz w:val="32"/>
          <w:szCs w:val="32"/>
          <w:highlight w:val="none"/>
          <w:lang w:eastAsia="zh-CN"/>
        </w:rPr>
        <w:t>升</w:t>
      </w:r>
      <w:r>
        <w:rPr>
          <w:rStyle w:val="25"/>
          <w:rFonts w:hint="eastAsia" w:ascii="仿宋" w:hAnsi="仿宋" w:eastAsia="仿宋" w:cs="Times New Roman"/>
          <w:b w:val="0"/>
          <w:bCs/>
          <w:color w:val="auto"/>
          <w:spacing w:val="-4"/>
          <w:sz w:val="32"/>
          <w:szCs w:val="32"/>
          <w:highlight w:val="none"/>
        </w:rPr>
        <w:t>动物疫病防控</w:t>
      </w:r>
      <w:r>
        <w:rPr>
          <w:rStyle w:val="25"/>
          <w:rFonts w:hint="eastAsia" w:ascii="仿宋" w:hAnsi="仿宋" w:eastAsia="仿宋" w:cs="Times New Roman"/>
          <w:b w:val="0"/>
          <w:bCs/>
          <w:color w:val="auto"/>
          <w:spacing w:val="-4"/>
          <w:sz w:val="32"/>
          <w:szCs w:val="32"/>
          <w:highlight w:val="none"/>
          <w:lang w:eastAsia="zh-CN"/>
        </w:rPr>
        <w:t>及实验室检测</w:t>
      </w:r>
      <w:r>
        <w:rPr>
          <w:rStyle w:val="25"/>
          <w:rFonts w:hint="eastAsia" w:ascii="仿宋" w:hAnsi="仿宋" w:eastAsia="仿宋" w:cs="Times New Roman"/>
          <w:b w:val="0"/>
          <w:bCs/>
          <w:color w:val="auto"/>
          <w:spacing w:val="-4"/>
          <w:sz w:val="32"/>
          <w:szCs w:val="32"/>
          <w:highlight w:val="none"/>
        </w:rPr>
        <w:t>水平</w:t>
      </w:r>
      <w:r>
        <w:rPr>
          <w:rStyle w:val="25"/>
          <w:rFonts w:hint="eastAsia" w:ascii="仿宋" w:hAnsi="仿宋" w:eastAsia="仿宋" w:cs="Times New Roman"/>
          <w:b w:val="0"/>
          <w:bCs/>
          <w:color w:val="auto"/>
          <w:spacing w:val="-4"/>
          <w:sz w:val="32"/>
          <w:szCs w:val="32"/>
          <w:highlight w:val="none"/>
          <w:lang w:eastAsia="zh-CN"/>
        </w:rPr>
        <w:t>，提升</w:t>
      </w:r>
      <w:r>
        <w:rPr>
          <w:rStyle w:val="25"/>
          <w:rFonts w:hint="eastAsia" w:ascii="仿宋" w:hAnsi="仿宋" w:eastAsia="仿宋" w:cs="Times New Roman"/>
          <w:b w:val="0"/>
          <w:bCs/>
          <w:color w:val="auto"/>
          <w:spacing w:val="-4"/>
          <w:sz w:val="32"/>
          <w:szCs w:val="32"/>
          <w:highlight w:val="none"/>
        </w:rPr>
        <w:t>抵御疫病的侵袭</w:t>
      </w:r>
      <w:r>
        <w:rPr>
          <w:rStyle w:val="25"/>
          <w:rFonts w:hint="eastAsia" w:ascii="仿宋" w:hAnsi="仿宋" w:eastAsia="仿宋" w:cs="Times New Roman"/>
          <w:b w:val="0"/>
          <w:bCs/>
          <w:color w:val="auto"/>
          <w:spacing w:val="-4"/>
          <w:sz w:val="32"/>
          <w:szCs w:val="32"/>
          <w:highlight w:val="none"/>
          <w:lang w:eastAsia="zh-CN"/>
        </w:rPr>
        <w:t>能力</w:t>
      </w:r>
      <w:r>
        <w:rPr>
          <w:rFonts w:hint="eastAsia" w:ascii="仿宋_GB2312" w:eastAsia="仿宋_GB2312"/>
          <w:color w:val="auto"/>
          <w:sz w:val="32"/>
          <w:szCs w:val="32"/>
          <w:highlight w:val="none"/>
        </w:rPr>
        <w:t>。</w:t>
      </w:r>
    </w:p>
    <w:p>
      <w:pPr>
        <w:spacing w:line="600" w:lineRule="exact"/>
        <w:ind w:firstLine="640" w:firstLineChars="200"/>
        <w:rPr>
          <w:color w:val="auto"/>
          <w:highlight w:val="none"/>
        </w:rPr>
      </w:pPr>
      <w:r>
        <w:rPr>
          <w:rFonts w:eastAsia="仿宋_GB2312"/>
          <w:color w:val="auto"/>
          <w:sz w:val="32"/>
          <w:szCs w:val="32"/>
          <w:highlight w:val="none"/>
        </w:rPr>
        <w:t>2、阶段性目标</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（1）前期准备：通过制定项目实施方案，经项目负责人审核通过后，有序开展后续工作。</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color w:val="auto"/>
          <w:sz w:val="32"/>
          <w:szCs w:val="32"/>
          <w:highlight w:val="none"/>
        </w:rPr>
      </w:pPr>
      <w:r>
        <w:rPr>
          <w:rFonts w:eastAsia="黑体"/>
          <w:color w:val="auto"/>
          <w:sz w:val="32"/>
          <w:szCs w:val="32"/>
          <w:highlight w:val="none"/>
        </w:rPr>
        <w:t>二、绩效评价工作开展情况</w:t>
      </w:r>
    </w:p>
    <w:p>
      <w:pPr>
        <w:spacing w:line="600" w:lineRule="exact"/>
        <w:ind w:firstLine="642" w:firstLineChars="200"/>
        <w:rPr>
          <w:rFonts w:eastAsia="楷体_GB2312"/>
          <w:b/>
          <w:bCs/>
          <w:color w:val="auto"/>
          <w:sz w:val="32"/>
          <w:szCs w:val="32"/>
          <w:highlight w:val="none"/>
        </w:rPr>
      </w:pPr>
      <w:r>
        <w:rPr>
          <w:rFonts w:eastAsia="楷体_GB2312"/>
          <w:b/>
          <w:bCs/>
          <w:color w:val="auto"/>
          <w:sz w:val="32"/>
          <w:szCs w:val="32"/>
          <w:highlight w:val="none"/>
        </w:rPr>
        <w:t>（一）绩效评价目的、对象和范围</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1、绩效评价的目的</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3"/>
        </w:num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（2）项目绩效管理财政支出运行提供及时、有效的信息。</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综合来看，通过开展有效的财政支出绩效评价管理，达到改进预算管理、控制节约成本，提高预算资金使用效益的目的。</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2、绩效评价的对象</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rPr>
      </w:pPr>
      <w:r>
        <w:rPr>
          <w:rStyle w:val="25"/>
          <w:rFonts w:hint="eastAsia" w:ascii="仿宋" w:hAnsi="仿宋" w:eastAsia="仿宋" w:cs="Times New Roman"/>
          <w:b w:val="0"/>
          <w:bCs/>
          <w:color w:val="auto"/>
          <w:spacing w:val="-4"/>
          <w:sz w:val="32"/>
          <w:szCs w:val="32"/>
          <w:highlight w:val="none"/>
          <w:lang w:val="en-US" w:eastAsia="zh-CN"/>
        </w:rPr>
        <w:t>1、</w:t>
      </w:r>
      <w:r>
        <w:rPr>
          <w:rStyle w:val="25"/>
          <w:rFonts w:hint="eastAsia" w:ascii="仿宋" w:hAnsi="仿宋" w:eastAsia="仿宋" w:cs="Times New Roman"/>
          <w:b w:val="0"/>
          <w:bCs/>
          <w:color w:val="auto"/>
          <w:spacing w:val="-4"/>
          <w:sz w:val="32"/>
          <w:szCs w:val="32"/>
          <w:highlight w:val="none"/>
        </w:rPr>
        <w:t>动物疫情监测、流行病学调查、兽医实验室监测及能力保障</w:t>
      </w:r>
      <w:r>
        <w:rPr>
          <w:rStyle w:val="25"/>
          <w:rFonts w:hint="eastAsia" w:ascii="仿宋" w:hAnsi="仿宋" w:eastAsia="仿宋" w:cs="Times New Roman"/>
          <w:b w:val="0"/>
          <w:bCs/>
          <w:color w:val="auto"/>
          <w:spacing w:val="-4"/>
          <w:sz w:val="32"/>
          <w:szCs w:val="32"/>
          <w:highlight w:val="none"/>
          <w:lang w:eastAsia="zh-CN"/>
        </w:rPr>
        <w:t>。</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rPr>
      </w:pPr>
      <w:r>
        <w:rPr>
          <w:rStyle w:val="25"/>
          <w:rFonts w:hint="eastAsia" w:ascii="仿宋" w:hAnsi="仿宋" w:eastAsia="仿宋" w:cs="Times New Roman"/>
          <w:b w:val="0"/>
          <w:bCs/>
          <w:color w:val="auto"/>
          <w:spacing w:val="-4"/>
          <w:sz w:val="32"/>
          <w:szCs w:val="32"/>
          <w:highlight w:val="none"/>
          <w:lang w:eastAsia="zh-CN"/>
        </w:rPr>
        <w:t>我单位</w:t>
      </w:r>
      <w:r>
        <w:rPr>
          <w:rStyle w:val="25"/>
          <w:rFonts w:hint="eastAsia" w:ascii="仿宋" w:hAnsi="仿宋" w:eastAsia="仿宋" w:cs="Times New Roman"/>
          <w:b w:val="0"/>
          <w:bCs/>
          <w:color w:val="auto"/>
          <w:spacing w:val="-4"/>
          <w:sz w:val="32"/>
          <w:szCs w:val="32"/>
          <w:highlight w:val="none"/>
        </w:rPr>
        <w:t>承担着动物疫病防控和重大动物疫情应急处置的技术指导和督导</w:t>
      </w:r>
      <w:r>
        <w:rPr>
          <w:rStyle w:val="25"/>
          <w:rFonts w:hint="eastAsia" w:ascii="仿宋" w:hAnsi="仿宋" w:eastAsia="仿宋" w:cs="Times New Roman"/>
          <w:b w:val="0"/>
          <w:bCs/>
          <w:color w:val="auto"/>
          <w:spacing w:val="-4"/>
          <w:sz w:val="32"/>
          <w:szCs w:val="32"/>
          <w:highlight w:val="none"/>
          <w:lang w:eastAsia="zh-CN"/>
        </w:rPr>
        <w:t>；对</w:t>
      </w:r>
      <w:r>
        <w:rPr>
          <w:rStyle w:val="25"/>
          <w:rFonts w:hint="eastAsia" w:ascii="仿宋" w:hAnsi="仿宋" w:eastAsia="仿宋" w:cs="Times New Roman"/>
          <w:b w:val="0"/>
          <w:bCs/>
          <w:color w:val="auto"/>
          <w:spacing w:val="-4"/>
          <w:sz w:val="32"/>
          <w:szCs w:val="32"/>
          <w:highlight w:val="none"/>
        </w:rPr>
        <w:t>全区动物</w:t>
      </w:r>
      <w:r>
        <w:rPr>
          <w:rStyle w:val="25"/>
          <w:rFonts w:hint="eastAsia" w:ascii="仿宋" w:hAnsi="仿宋" w:eastAsia="仿宋" w:cs="Times New Roman"/>
          <w:b w:val="0"/>
          <w:bCs/>
          <w:color w:val="auto"/>
          <w:spacing w:val="-4"/>
          <w:sz w:val="32"/>
          <w:szCs w:val="32"/>
          <w:highlight w:val="none"/>
          <w:lang w:eastAsia="zh-CN"/>
        </w:rPr>
        <w:t>检疫</w:t>
      </w:r>
      <w:r>
        <w:rPr>
          <w:rStyle w:val="25"/>
          <w:rFonts w:hint="eastAsia" w:ascii="仿宋" w:hAnsi="仿宋" w:eastAsia="仿宋" w:cs="Times New Roman"/>
          <w:b w:val="0"/>
          <w:bCs/>
          <w:color w:val="auto"/>
          <w:spacing w:val="-4"/>
          <w:sz w:val="32"/>
          <w:szCs w:val="32"/>
          <w:highlight w:val="none"/>
        </w:rPr>
        <w:t>工作</w:t>
      </w:r>
      <w:r>
        <w:rPr>
          <w:rStyle w:val="25"/>
          <w:rFonts w:hint="eastAsia" w:ascii="仿宋" w:hAnsi="仿宋" w:eastAsia="仿宋" w:cs="Times New Roman"/>
          <w:b w:val="0"/>
          <w:bCs/>
          <w:color w:val="auto"/>
          <w:spacing w:val="-4"/>
          <w:sz w:val="32"/>
          <w:szCs w:val="32"/>
          <w:highlight w:val="none"/>
          <w:lang w:eastAsia="zh-CN"/>
        </w:rPr>
        <w:t>进行</w:t>
      </w:r>
      <w:r>
        <w:rPr>
          <w:rStyle w:val="25"/>
          <w:rFonts w:hint="eastAsia" w:ascii="仿宋" w:hAnsi="仿宋" w:eastAsia="仿宋" w:cs="Times New Roman"/>
          <w:b w:val="0"/>
          <w:bCs/>
          <w:color w:val="auto"/>
          <w:spacing w:val="-4"/>
          <w:sz w:val="32"/>
          <w:szCs w:val="32"/>
          <w:highlight w:val="none"/>
        </w:rPr>
        <w:t>指导和管理</w:t>
      </w:r>
      <w:r>
        <w:rPr>
          <w:rStyle w:val="25"/>
          <w:rFonts w:hint="eastAsia" w:ascii="仿宋" w:hAnsi="仿宋" w:eastAsia="仿宋" w:cs="Times New Roman"/>
          <w:b w:val="0"/>
          <w:bCs/>
          <w:color w:val="auto"/>
          <w:spacing w:val="-4"/>
          <w:sz w:val="32"/>
          <w:szCs w:val="32"/>
          <w:highlight w:val="none"/>
          <w:lang w:eastAsia="zh-CN"/>
        </w:rPr>
        <w:t>；</w:t>
      </w:r>
      <w:r>
        <w:rPr>
          <w:rStyle w:val="25"/>
          <w:rFonts w:hint="eastAsia" w:ascii="仿宋" w:hAnsi="仿宋" w:eastAsia="仿宋" w:cs="Times New Roman"/>
          <w:b w:val="0"/>
          <w:bCs/>
          <w:color w:val="auto"/>
          <w:spacing w:val="-4"/>
          <w:sz w:val="32"/>
          <w:szCs w:val="32"/>
          <w:highlight w:val="none"/>
        </w:rPr>
        <w:t>管理应急防疫物资储备和应急反应专家队伍的</w:t>
      </w:r>
      <w:r>
        <w:rPr>
          <w:rStyle w:val="25"/>
          <w:rFonts w:hint="eastAsia" w:ascii="仿宋" w:hAnsi="仿宋" w:eastAsia="仿宋" w:cs="Times New Roman"/>
          <w:b w:val="0"/>
          <w:bCs/>
          <w:color w:val="auto"/>
          <w:spacing w:val="-4"/>
          <w:sz w:val="32"/>
          <w:szCs w:val="32"/>
          <w:highlight w:val="none"/>
          <w:lang w:eastAsia="zh-CN"/>
        </w:rPr>
        <w:t>建设；每年</w:t>
      </w:r>
      <w:r>
        <w:rPr>
          <w:rStyle w:val="25"/>
          <w:rFonts w:hint="eastAsia" w:ascii="仿宋" w:hAnsi="仿宋" w:eastAsia="仿宋" w:cs="Times New Roman"/>
          <w:b w:val="0"/>
          <w:bCs/>
          <w:color w:val="auto"/>
          <w:spacing w:val="-4"/>
          <w:sz w:val="32"/>
          <w:szCs w:val="32"/>
          <w:highlight w:val="none"/>
        </w:rPr>
        <w:t>对</w:t>
      </w:r>
      <w:r>
        <w:rPr>
          <w:rStyle w:val="25"/>
          <w:rFonts w:hint="eastAsia" w:ascii="仿宋" w:hAnsi="仿宋" w:eastAsia="仿宋" w:cs="Times New Roman"/>
          <w:b w:val="0"/>
          <w:bCs/>
          <w:color w:val="auto"/>
          <w:spacing w:val="-4"/>
          <w:sz w:val="32"/>
          <w:szCs w:val="32"/>
          <w:highlight w:val="none"/>
          <w:lang w:eastAsia="zh-CN"/>
        </w:rPr>
        <w:t>全疆</w:t>
      </w:r>
      <w:r>
        <w:rPr>
          <w:rStyle w:val="25"/>
          <w:rFonts w:hint="eastAsia" w:ascii="仿宋" w:hAnsi="仿宋" w:eastAsia="仿宋" w:cs="Times New Roman"/>
          <w:b w:val="0"/>
          <w:bCs/>
          <w:color w:val="auto"/>
          <w:spacing w:val="-4"/>
          <w:sz w:val="32"/>
          <w:szCs w:val="32"/>
          <w:highlight w:val="none"/>
        </w:rPr>
        <w:t>兽医实验室业务管理</w:t>
      </w:r>
      <w:r>
        <w:rPr>
          <w:rStyle w:val="25"/>
          <w:rFonts w:hint="eastAsia" w:ascii="仿宋" w:hAnsi="仿宋" w:eastAsia="仿宋" w:cs="Times New Roman"/>
          <w:b w:val="0"/>
          <w:bCs/>
          <w:color w:val="auto"/>
          <w:spacing w:val="-4"/>
          <w:sz w:val="32"/>
          <w:szCs w:val="32"/>
          <w:highlight w:val="none"/>
          <w:lang w:eastAsia="zh-CN"/>
        </w:rPr>
        <w:t>进行技术</w:t>
      </w:r>
      <w:r>
        <w:rPr>
          <w:rStyle w:val="25"/>
          <w:rFonts w:hint="eastAsia" w:ascii="仿宋" w:hAnsi="仿宋" w:eastAsia="仿宋" w:cs="Times New Roman"/>
          <w:b w:val="0"/>
          <w:bCs/>
          <w:color w:val="auto"/>
          <w:spacing w:val="-4"/>
          <w:sz w:val="32"/>
          <w:szCs w:val="32"/>
          <w:highlight w:val="none"/>
        </w:rPr>
        <w:t>指导</w:t>
      </w:r>
      <w:r>
        <w:rPr>
          <w:rStyle w:val="25"/>
          <w:rFonts w:hint="eastAsia" w:ascii="仿宋" w:hAnsi="仿宋" w:eastAsia="仿宋" w:cs="Times New Roman"/>
          <w:b w:val="0"/>
          <w:bCs/>
          <w:color w:val="auto"/>
          <w:spacing w:val="-4"/>
          <w:sz w:val="32"/>
          <w:szCs w:val="32"/>
          <w:highlight w:val="none"/>
          <w:lang w:eastAsia="zh-CN"/>
        </w:rPr>
        <w:t>；</w:t>
      </w:r>
      <w:r>
        <w:rPr>
          <w:rStyle w:val="25"/>
          <w:rFonts w:hint="eastAsia" w:ascii="仿宋" w:hAnsi="仿宋" w:eastAsia="仿宋" w:cs="Times New Roman"/>
          <w:b w:val="0"/>
          <w:bCs/>
          <w:color w:val="auto"/>
          <w:spacing w:val="-4"/>
          <w:sz w:val="32"/>
          <w:szCs w:val="32"/>
          <w:highlight w:val="none"/>
        </w:rPr>
        <w:t>负责</w:t>
      </w:r>
      <w:r>
        <w:rPr>
          <w:rStyle w:val="25"/>
          <w:rFonts w:hint="eastAsia" w:ascii="仿宋" w:hAnsi="仿宋" w:eastAsia="仿宋" w:cs="Times New Roman"/>
          <w:b w:val="0"/>
          <w:bCs/>
          <w:color w:val="auto"/>
          <w:spacing w:val="-4"/>
          <w:sz w:val="32"/>
          <w:szCs w:val="32"/>
          <w:highlight w:val="none"/>
          <w:lang w:eastAsia="zh-CN"/>
        </w:rPr>
        <w:t>对</w:t>
      </w:r>
      <w:r>
        <w:rPr>
          <w:rStyle w:val="25"/>
          <w:rFonts w:hint="eastAsia" w:ascii="仿宋" w:hAnsi="仿宋" w:eastAsia="仿宋" w:cs="Times New Roman"/>
          <w:b w:val="0"/>
          <w:bCs/>
          <w:color w:val="auto"/>
          <w:spacing w:val="-4"/>
          <w:sz w:val="32"/>
          <w:szCs w:val="32"/>
          <w:highlight w:val="none"/>
        </w:rPr>
        <w:t>全区动物</w:t>
      </w:r>
      <w:r>
        <w:rPr>
          <w:rStyle w:val="25"/>
          <w:rFonts w:hint="eastAsia" w:ascii="仿宋" w:hAnsi="仿宋" w:eastAsia="仿宋" w:cs="Times New Roman"/>
          <w:b w:val="0"/>
          <w:bCs/>
          <w:color w:val="auto"/>
          <w:spacing w:val="-4"/>
          <w:sz w:val="32"/>
          <w:szCs w:val="32"/>
          <w:highlight w:val="none"/>
          <w:lang w:eastAsia="zh-CN"/>
        </w:rPr>
        <w:t>检疫</w:t>
      </w:r>
      <w:r>
        <w:rPr>
          <w:rStyle w:val="25"/>
          <w:rFonts w:hint="eastAsia" w:ascii="仿宋" w:hAnsi="仿宋" w:eastAsia="仿宋" w:cs="Times New Roman"/>
          <w:b w:val="0"/>
          <w:bCs/>
          <w:color w:val="auto"/>
          <w:spacing w:val="-4"/>
          <w:sz w:val="32"/>
          <w:szCs w:val="32"/>
          <w:highlight w:val="none"/>
        </w:rPr>
        <w:t>、疫病防控工作的评估，负责动物疫情的预警预报</w:t>
      </w:r>
      <w:r>
        <w:rPr>
          <w:rStyle w:val="25"/>
          <w:rFonts w:hint="eastAsia" w:ascii="仿宋" w:hAnsi="仿宋" w:eastAsia="仿宋" w:cs="Times New Roman"/>
          <w:b w:val="0"/>
          <w:bCs/>
          <w:color w:val="auto"/>
          <w:spacing w:val="-4"/>
          <w:sz w:val="32"/>
          <w:szCs w:val="32"/>
          <w:highlight w:val="none"/>
          <w:lang w:eastAsia="zh-CN"/>
        </w:rPr>
        <w:t>，组织和实施兽医资格考试等</w:t>
      </w:r>
      <w:r>
        <w:rPr>
          <w:rStyle w:val="25"/>
          <w:rFonts w:hint="eastAsia" w:ascii="仿宋" w:hAnsi="仿宋" w:eastAsia="仿宋" w:cs="Times New Roman"/>
          <w:b w:val="0"/>
          <w:bCs/>
          <w:color w:val="auto"/>
          <w:spacing w:val="-4"/>
          <w:sz w:val="32"/>
          <w:szCs w:val="32"/>
          <w:highlight w:val="none"/>
        </w:rPr>
        <w:t>工作。</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eastAsia="zh-CN"/>
        </w:rPr>
      </w:pPr>
      <w:r>
        <w:rPr>
          <w:rStyle w:val="25"/>
          <w:rFonts w:hint="eastAsia" w:ascii="仿宋" w:hAnsi="仿宋" w:eastAsia="仿宋" w:cs="Times New Roman"/>
          <w:b w:val="0"/>
          <w:bCs/>
          <w:color w:val="auto"/>
          <w:spacing w:val="-4"/>
          <w:sz w:val="32"/>
          <w:szCs w:val="32"/>
          <w:highlight w:val="none"/>
        </w:rPr>
        <w:t>通过对非洲猪瘟、口蹄疫、禽流感、小反刍兽疫、高致病性猪蓝耳病、猪瘟、新城疫、牛结核、布鲁氏菌病、棘球蚴、狂犬病、马传贫、马鼻疽、猪伪狂犬、牛结节性皮肤病等十五种主要动物疫病</w:t>
      </w:r>
      <w:r>
        <w:rPr>
          <w:rStyle w:val="25"/>
          <w:rFonts w:hint="eastAsia" w:ascii="仿宋" w:hAnsi="仿宋" w:eastAsia="仿宋" w:cs="Times New Roman"/>
          <w:b w:val="0"/>
          <w:bCs/>
          <w:color w:val="auto"/>
          <w:spacing w:val="-4"/>
          <w:sz w:val="32"/>
          <w:szCs w:val="32"/>
          <w:highlight w:val="none"/>
          <w:lang w:eastAsia="zh-CN"/>
        </w:rPr>
        <w:t>进行</w:t>
      </w:r>
      <w:r>
        <w:rPr>
          <w:rStyle w:val="25"/>
          <w:rFonts w:hint="eastAsia" w:ascii="仿宋" w:hAnsi="仿宋" w:eastAsia="仿宋" w:cs="Times New Roman"/>
          <w:b w:val="0"/>
          <w:bCs/>
          <w:color w:val="auto"/>
          <w:spacing w:val="-4"/>
          <w:sz w:val="32"/>
          <w:szCs w:val="32"/>
          <w:highlight w:val="none"/>
        </w:rPr>
        <w:t>监测，提升全疆动物疫病预防</w:t>
      </w:r>
      <w:r>
        <w:rPr>
          <w:rStyle w:val="25"/>
          <w:rFonts w:hint="eastAsia" w:ascii="仿宋" w:hAnsi="仿宋" w:eastAsia="仿宋" w:cs="Times New Roman"/>
          <w:b w:val="0"/>
          <w:bCs/>
          <w:color w:val="auto"/>
          <w:spacing w:val="-4"/>
          <w:sz w:val="32"/>
          <w:szCs w:val="32"/>
          <w:highlight w:val="none"/>
          <w:lang w:eastAsia="zh-CN"/>
        </w:rPr>
        <w:t>实验室的检测能力</w:t>
      </w:r>
      <w:r>
        <w:rPr>
          <w:rStyle w:val="25"/>
          <w:rFonts w:hint="eastAsia" w:ascii="仿宋" w:hAnsi="仿宋" w:eastAsia="仿宋" w:cs="Times New Roman"/>
          <w:b w:val="0"/>
          <w:bCs/>
          <w:color w:val="auto"/>
          <w:spacing w:val="-4"/>
          <w:sz w:val="32"/>
          <w:szCs w:val="32"/>
          <w:highlight w:val="none"/>
        </w:rPr>
        <w:t>，形成动物疫情处理、预警预报</w:t>
      </w:r>
      <w:r>
        <w:rPr>
          <w:rStyle w:val="25"/>
          <w:rFonts w:hint="eastAsia" w:ascii="仿宋" w:hAnsi="仿宋" w:eastAsia="仿宋" w:cs="Times New Roman"/>
          <w:b w:val="0"/>
          <w:bCs/>
          <w:color w:val="auto"/>
          <w:spacing w:val="-4"/>
          <w:sz w:val="32"/>
          <w:szCs w:val="32"/>
          <w:highlight w:val="none"/>
          <w:lang w:eastAsia="zh-CN"/>
        </w:rPr>
        <w:t>，</w:t>
      </w:r>
      <w:r>
        <w:rPr>
          <w:rStyle w:val="25"/>
          <w:rFonts w:hint="eastAsia" w:ascii="仿宋" w:hAnsi="仿宋" w:eastAsia="仿宋" w:cs="Times New Roman"/>
          <w:b w:val="0"/>
          <w:bCs/>
          <w:color w:val="auto"/>
          <w:spacing w:val="-4"/>
          <w:sz w:val="32"/>
          <w:szCs w:val="32"/>
          <w:highlight w:val="none"/>
        </w:rPr>
        <w:t>动物产品</w:t>
      </w:r>
      <w:r>
        <w:rPr>
          <w:rStyle w:val="25"/>
          <w:rFonts w:hint="eastAsia" w:ascii="仿宋" w:hAnsi="仿宋" w:eastAsia="仿宋" w:cs="Times New Roman"/>
          <w:b w:val="0"/>
          <w:bCs/>
          <w:color w:val="auto"/>
          <w:spacing w:val="-4"/>
          <w:sz w:val="32"/>
          <w:szCs w:val="32"/>
          <w:highlight w:val="none"/>
          <w:lang w:eastAsia="zh-CN"/>
        </w:rPr>
        <w:t>检疫</w:t>
      </w:r>
      <w:r>
        <w:rPr>
          <w:rStyle w:val="25"/>
          <w:rFonts w:hint="eastAsia" w:ascii="仿宋" w:hAnsi="仿宋" w:eastAsia="仿宋" w:cs="Times New Roman"/>
          <w:b w:val="0"/>
          <w:bCs/>
          <w:color w:val="auto"/>
          <w:spacing w:val="-4"/>
          <w:sz w:val="32"/>
          <w:szCs w:val="32"/>
          <w:highlight w:val="none"/>
        </w:rPr>
        <w:t>和动物疫情追溯</w:t>
      </w:r>
      <w:r>
        <w:rPr>
          <w:rStyle w:val="25"/>
          <w:rFonts w:hint="eastAsia" w:ascii="仿宋" w:hAnsi="仿宋" w:eastAsia="仿宋" w:cs="Times New Roman"/>
          <w:b w:val="0"/>
          <w:bCs/>
          <w:color w:val="auto"/>
          <w:spacing w:val="-4"/>
          <w:sz w:val="32"/>
          <w:szCs w:val="32"/>
          <w:highlight w:val="none"/>
          <w:lang w:eastAsia="zh-CN"/>
        </w:rPr>
        <w:t>体系</w:t>
      </w:r>
      <w:r>
        <w:rPr>
          <w:rStyle w:val="25"/>
          <w:rFonts w:hint="eastAsia" w:ascii="仿宋" w:hAnsi="仿宋" w:eastAsia="仿宋" w:cs="Times New Roman"/>
          <w:b w:val="0"/>
          <w:bCs/>
          <w:color w:val="auto"/>
          <w:spacing w:val="-4"/>
          <w:sz w:val="32"/>
          <w:szCs w:val="32"/>
          <w:highlight w:val="none"/>
        </w:rPr>
        <w:t>，为全疆动物疫病诊治、疫情监测</w:t>
      </w:r>
      <w:r>
        <w:rPr>
          <w:rStyle w:val="25"/>
          <w:rFonts w:hint="eastAsia" w:ascii="仿宋" w:hAnsi="仿宋" w:eastAsia="仿宋" w:cs="Times New Roman"/>
          <w:b w:val="0"/>
          <w:bCs/>
          <w:color w:val="auto"/>
          <w:spacing w:val="-4"/>
          <w:sz w:val="32"/>
          <w:szCs w:val="32"/>
          <w:highlight w:val="none"/>
          <w:lang w:eastAsia="zh-CN"/>
        </w:rPr>
        <w:t>提供准确的数据支撑</w:t>
      </w:r>
      <w:r>
        <w:rPr>
          <w:rStyle w:val="25"/>
          <w:rFonts w:hint="eastAsia" w:ascii="仿宋" w:hAnsi="仿宋" w:eastAsia="仿宋" w:cs="Times New Roman"/>
          <w:b w:val="0"/>
          <w:bCs/>
          <w:color w:val="auto"/>
          <w:spacing w:val="-4"/>
          <w:sz w:val="32"/>
          <w:szCs w:val="32"/>
          <w:highlight w:val="none"/>
        </w:rPr>
        <w:t>；</w:t>
      </w:r>
      <w:r>
        <w:rPr>
          <w:rStyle w:val="25"/>
          <w:rFonts w:hint="eastAsia" w:ascii="仿宋" w:hAnsi="仿宋" w:eastAsia="仿宋" w:cs="Times New Roman"/>
          <w:b w:val="0"/>
          <w:bCs/>
          <w:color w:val="auto"/>
          <w:spacing w:val="-4"/>
          <w:sz w:val="32"/>
          <w:szCs w:val="32"/>
          <w:highlight w:val="none"/>
          <w:lang w:eastAsia="zh-CN"/>
        </w:rPr>
        <w:t>做到</w:t>
      </w:r>
      <w:r>
        <w:rPr>
          <w:rStyle w:val="25"/>
          <w:rFonts w:hint="eastAsia" w:ascii="仿宋" w:hAnsi="仿宋" w:eastAsia="仿宋" w:cs="Times New Roman"/>
          <w:b w:val="0"/>
          <w:bCs/>
          <w:color w:val="auto"/>
          <w:spacing w:val="-4"/>
          <w:sz w:val="32"/>
          <w:szCs w:val="32"/>
          <w:highlight w:val="none"/>
        </w:rPr>
        <w:t>有效应对</w:t>
      </w:r>
      <w:r>
        <w:rPr>
          <w:rStyle w:val="25"/>
          <w:rFonts w:hint="eastAsia" w:ascii="仿宋" w:hAnsi="仿宋" w:eastAsia="仿宋" w:cs="Times New Roman"/>
          <w:b w:val="0"/>
          <w:bCs/>
          <w:color w:val="auto"/>
          <w:spacing w:val="-4"/>
          <w:sz w:val="32"/>
          <w:szCs w:val="32"/>
          <w:highlight w:val="none"/>
          <w:lang w:eastAsia="zh-CN"/>
        </w:rPr>
        <w:t>突发公共卫生事件</w:t>
      </w:r>
      <w:r>
        <w:rPr>
          <w:rStyle w:val="25"/>
          <w:rFonts w:hint="eastAsia" w:ascii="仿宋" w:hAnsi="仿宋" w:eastAsia="仿宋" w:cs="Times New Roman"/>
          <w:b w:val="0"/>
          <w:bCs/>
          <w:color w:val="auto"/>
          <w:spacing w:val="-4"/>
          <w:sz w:val="32"/>
          <w:szCs w:val="32"/>
          <w:highlight w:val="none"/>
        </w:rPr>
        <w:t>，</w:t>
      </w:r>
      <w:r>
        <w:rPr>
          <w:rStyle w:val="25"/>
          <w:rFonts w:hint="eastAsia" w:ascii="仿宋" w:hAnsi="仿宋" w:eastAsia="仿宋" w:cs="Times New Roman"/>
          <w:b w:val="0"/>
          <w:bCs/>
          <w:color w:val="auto"/>
          <w:spacing w:val="-4"/>
          <w:sz w:val="32"/>
          <w:szCs w:val="32"/>
          <w:highlight w:val="none"/>
          <w:lang w:eastAsia="zh-CN"/>
        </w:rPr>
        <w:t>能</w:t>
      </w:r>
      <w:r>
        <w:rPr>
          <w:rStyle w:val="25"/>
          <w:rFonts w:hint="eastAsia" w:ascii="仿宋" w:hAnsi="仿宋" w:eastAsia="仿宋" w:cs="Times New Roman"/>
          <w:b w:val="0"/>
          <w:bCs/>
          <w:color w:val="auto"/>
          <w:spacing w:val="-4"/>
          <w:sz w:val="32"/>
          <w:szCs w:val="32"/>
          <w:highlight w:val="none"/>
        </w:rPr>
        <w:t>迅速消灭动物疫病传染源，切断传播途径，大大提高动物疫病诊断工作效率，降低突发事件给人类带来的危害与损失，全面保障动物源食品安全，保护人民身体健康，维护社会稳定</w:t>
      </w:r>
      <w:r>
        <w:rPr>
          <w:rStyle w:val="25"/>
          <w:rFonts w:hint="eastAsia" w:ascii="仿宋" w:hAnsi="仿宋" w:eastAsia="仿宋" w:cs="Times New Roman"/>
          <w:b w:val="0"/>
          <w:bCs/>
          <w:color w:val="auto"/>
          <w:spacing w:val="-4"/>
          <w:sz w:val="32"/>
          <w:szCs w:val="32"/>
          <w:highlight w:val="none"/>
          <w:lang w:eastAsia="zh-CN"/>
        </w:rPr>
        <w:t>。</w:t>
      </w:r>
    </w:p>
    <w:p>
      <w:pPr>
        <w:spacing w:line="540" w:lineRule="exact"/>
        <w:ind w:firstLine="624" w:firstLineChars="200"/>
        <w:rPr>
          <w:rFonts w:hint="eastAsia" w:ascii="宋体" w:hAnsi="宋体" w:cs="Times New Roman"/>
          <w:color w:val="auto"/>
          <w:kern w:val="2"/>
          <w:sz w:val="28"/>
          <w:szCs w:val="28"/>
          <w:highlight w:val="none"/>
          <w:lang w:val="en-US" w:eastAsia="zh-CN" w:bidi="ar-SA"/>
        </w:rPr>
      </w:pPr>
      <w:r>
        <w:rPr>
          <w:rStyle w:val="25"/>
          <w:rFonts w:hint="eastAsia" w:ascii="仿宋" w:hAnsi="仿宋" w:eastAsia="仿宋" w:cs="Times New Roman"/>
          <w:b w:val="0"/>
          <w:bCs/>
          <w:color w:val="auto"/>
          <w:spacing w:val="-4"/>
          <w:sz w:val="32"/>
          <w:szCs w:val="32"/>
          <w:highlight w:val="none"/>
          <w:lang w:val="en-US" w:eastAsia="zh-CN"/>
        </w:rPr>
        <w:t>2、疫苗、证章质量评估、监控管理</w:t>
      </w:r>
      <w:r>
        <w:rPr>
          <w:rFonts w:hint="eastAsia" w:ascii="宋体" w:hAnsi="宋体" w:cs="Times New Roman"/>
          <w:color w:val="auto"/>
          <w:kern w:val="2"/>
          <w:sz w:val="28"/>
          <w:szCs w:val="28"/>
          <w:highlight w:val="none"/>
          <w:lang w:val="en-US" w:eastAsia="zh-CN" w:bidi="ar-SA"/>
        </w:rPr>
        <w:t>。</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rPr>
      </w:pPr>
      <w:r>
        <w:rPr>
          <w:rStyle w:val="25"/>
          <w:rFonts w:hint="eastAsia" w:ascii="仿宋" w:hAnsi="仿宋" w:eastAsia="仿宋" w:cs="Times New Roman"/>
          <w:b w:val="0"/>
          <w:bCs/>
          <w:color w:val="auto"/>
          <w:spacing w:val="-4"/>
          <w:sz w:val="32"/>
          <w:szCs w:val="32"/>
          <w:highlight w:val="none"/>
        </w:rPr>
        <w:t>疫苗是一种比较特殊的商品，它对储存、运输的环境温度有着严格的要求</w:t>
      </w:r>
      <w:r>
        <w:rPr>
          <w:rStyle w:val="25"/>
          <w:rFonts w:hint="eastAsia" w:ascii="仿宋" w:hAnsi="仿宋" w:eastAsia="仿宋" w:cs="Times New Roman"/>
          <w:b w:val="0"/>
          <w:bCs/>
          <w:color w:val="auto"/>
          <w:spacing w:val="-4"/>
          <w:sz w:val="32"/>
          <w:szCs w:val="32"/>
          <w:highlight w:val="none"/>
          <w:lang w:eastAsia="zh-CN"/>
        </w:rPr>
        <w:t>，</w:t>
      </w:r>
      <w:r>
        <w:rPr>
          <w:rStyle w:val="25"/>
          <w:rFonts w:hint="eastAsia" w:ascii="仿宋" w:hAnsi="仿宋" w:eastAsia="仿宋" w:cs="Times New Roman"/>
          <w:b w:val="0"/>
          <w:bCs/>
          <w:color w:val="auto"/>
          <w:spacing w:val="-4"/>
          <w:sz w:val="32"/>
          <w:szCs w:val="32"/>
          <w:highlight w:val="none"/>
        </w:rPr>
        <w:t>保障疫苗冷藏运费及</w:t>
      </w:r>
      <w:r>
        <w:rPr>
          <w:rStyle w:val="25"/>
          <w:rFonts w:hint="eastAsia" w:ascii="仿宋" w:hAnsi="仿宋" w:eastAsia="仿宋" w:cs="Times New Roman"/>
          <w:b w:val="0"/>
          <w:bCs/>
          <w:color w:val="auto"/>
          <w:spacing w:val="-4"/>
          <w:sz w:val="32"/>
          <w:szCs w:val="32"/>
          <w:highlight w:val="none"/>
          <w:lang w:eastAsia="zh-CN"/>
        </w:rPr>
        <w:t>存储设备</w:t>
      </w:r>
      <w:r>
        <w:rPr>
          <w:rStyle w:val="25"/>
          <w:rFonts w:hint="eastAsia" w:ascii="仿宋" w:hAnsi="仿宋" w:eastAsia="仿宋" w:cs="Times New Roman"/>
          <w:b w:val="0"/>
          <w:bCs/>
          <w:color w:val="auto"/>
          <w:spacing w:val="-4"/>
          <w:sz w:val="32"/>
          <w:szCs w:val="32"/>
          <w:highlight w:val="none"/>
        </w:rPr>
        <w:t>运行维护</w:t>
      </w:r>
      <w:r>
        <w:rPr>
          <w:rStyle w:val="25"/>
          <w:rFonts w:hint="eastAsia" w:ascii="仿宋" w:hAnsi="仿宋" w:eastAsia="仿宋" w:cs="Times New Roman"/>
          <w:b w:val="0"/>
          <w:bCs/>
          <w:color w:val="auto"/>
          <w:spacing w:val="-4"/>
          <w:sz w:val="32"/>
          <w:szCs w:val="32"/>
          <w:highlight w:val="none"/>
          <w:lang w:eastAsia="zh-CN"/>
        </w:rPr>
        <w:t>，确保疫苗运输、储存、发放过程的安全。通过</w:t>
      </w:r>
      <w:r>
        <w:rPr>
          <w:rStyle w:val="25"/>
          <w:rFonts w:hint="eastAsia" w:ascii="仿宋" w:hAnsi="仿宋" w:eastAsia="仿宋" w:cs="Times New Roman"/>
          <w:b w:val="0"/>
          <w:bCs/>
          <w:color w:val="auto"/>
          <w:spacing w:val="-4"/>
          <w:sz w:val="32"/>
          <w:szCs w:val="32"/>
          <w:highlight w:val="none"/>
          <w:lang w:val="en-US" w:eastAsia="zh-CN"/>
        </w:rPr>
        <w:t>证章发放及质量评估、监控管理，</w:t>
      </w:r>
      <w:r>
        <w:rPr>
          <w:rStyle w:val="25"/>
          <w:rFonts w:hint="eastAsia" w:ascii="仿宋" w:hAnsi="仿宋" w:eastAsia="仿宋" w:cs="Times New Roman"/>
          <w:b w:val="0"/>
          <w:bCs/>
          <w:color w:val="auto"/>
          <w:spacing w:val="-4"/>
          <w:sz w:val="32"/>
          <w:szCs w:val="32"/>
          <w:highlight w:val="none"/>
        </w:rPr>
        <w:t>实现</w:t>
      </w:r>
      <w:r>
        <w:rPr>
          <w:rStyle w:val="25"/>
          <w:rFonts w:hint="eastAsia" w:ascii="仿宋" w:hAnsi="仿宋" w:eastAsia="仿宋" w:cs="Times New Roman"/>
          <w:b w:val="0"/>
          <w:bCs/>
          <w:color w:val="auto"/>
          <w:spacing w:val="-4"/>
          <w:sz w:val="32"/>
          <w:szCs w:val="32"/>
          <w:highlight w:val="none"/>
          <w:lang w:eastAsia="zh-CN"/>
        </w:rPr>
        <w:t>我区</w:t>
      </w:r>
      <w:r>
        <w:rPr>
          <w:rStyle w:val="25"/>
          <w:rFonts w:hint="eastAsia" w:ascii="仿宋" w:hAnsi="仿宋" w:eastAsia="仿宋" w:cs="Times New Roman"/>
          <w:b w:val="0"/>
          <w:bCs/>
          <w:color w:val="auto"/>
          <w:spacing w:val="-4"/>
          <w:sz w:val="32"/>
          <w:szCs w:val="32"/>
          <w:highlight w:val="none"/>
        </w:rPr>
        <w:t>动物及动物产品100%凭证流通和溯源管理，确保我区动物及动物产品卫生安全和人民身体健康。</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 xml:space="preserve"> 3、屠宰、检疫监管及技术指导。</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联合各地农业综合执法大队，组织专家及专业人员，对全疆14个地（州、市）35个县的重点屠宰厂（场、点）开展监督抽样工作。检疫监管完善信息化监管手段，打通动物检疫合格证之间、动物及动物产品检疫合格证之间的关联，有效规范官方兽医的出证行为，通过实时推送动物及动物产品流通动态数据，确保流通落地监管到位。</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4、应急物资储备及储备管理。</w:t>
      </w:r>
    </w:p>
    <w:p>
      <w:pPr>
        <w:spacing w:line="540" w:lineRule="exact"/>
        <w:ind w:firstLine="624" w:firstLineChars="200"/>
        <w:rPr>
          <w:rStyle w:val="25"/>
          <w:rFonts w:hint="eastAsia" w:ascii="仿宋" w:hAnsi="仿宋" w:eastAsia="仿宋" w:cs="Times New Roman"/>
          <w:b w:val="0"/>
          <w:bCs/>
          <w:color w:val="auto"/>
          <w:spacing w:val="-4"/>
          <w:sz w:val="32"/>
          <w:szCs w:val="32"/>
          <w:highlight w:val="none"/>
          <w:lang w:val="en-US" w:eastAsia="zh-CN"/>
        </w:rPr>
      </w:pPr>
      <w:r>
        <w:rPr>
          <w:rStyle w:val="25"/>
          <w:rFonts w:hint="default" w:ascii="仿宋" w:hAnsi="仿宋" w:eastAsia="仿宋" w:cs="Times New Roman"/>
          <w:b w:val="0"/>
          <w:bCs/>
          <w:color w:val="auto"/>
          <w:spacing w:val="-4"/>
          <w:sz w:val="32"/>
          <w:szCs w:val="32"/>
          <w:highlight w:val="none"/>
          <w:lang w:val="en-US" w:eastAsia="zh-CN"/>
        </w:rPr>
        <w:t>储备牛羊口蹄疫O、A二价灭活疫苗</w:t>
      </w:r>
      <w:r>
        <w:rPr>
          <w:rStyle w:val="25"/>
          <w:rFonts w:hint="eastAsia" w:ascii="仿宋" w:hAnsi="仿宋" w:eastAsia="仿宋" w:cs="Times New Roman"/>
          <w:b w:val="0"/>
          <w:bCs/>
          <w:color w:val="auto"/>
          <w:spacing w:val="-4"/>
          <w:sz w:val="32"/>
          <w:szCs w:val="32"/>
          <w:highlight w:val="none"/>
          <w:lang w:val="en-US" w:eastAsia="zh-CN"/>
        </w:rPr>
        <w:t>、</w:t>
      </w:r>
      <w:r>
        <w:rPr>
          <w:rStyle w:val="25"/>
          <w:rFonts w:hint="default" w:ascii="仿宋" w:hAnsi="仿宋" w:eastAsia="仿宋" w:cs="Times New Roman"/>
          <w:b w:val="0"/>
          <w:bCs/>
          <w:color w:val="auto"/>
          <w:spacing w:val="-4"/>
          <w:sz w:val="32"/>
          <w:szCs w:val="32"/>
          <w:highlight w:val="none"/>
          <w:lang w:val="en-US" w:eastAsia="zh-CN"/>
        </w:rPr>
        <w:t>禽流感H5+H7灭活疫苗，用于</w:t>
      </w:r>
      <w:r>
        <w:rPr>
          <w:rStyle w:val="25"/>
          <w:rFonts w:hint="eastAsia" w:ascii="仿宋" w:hAnsi="仿宋" w:eastAsia="仿宋" w:cs="Times New Roman"/>
          <w:b w:val="0"/>
          <w:bCs/>
          <w:color w:val="auto"/>
          <w:spacing w:val="-4"/>
          <w:sz w:val="32"/>
          <w:szCs w:val="32"/>
          <w:highlight w:val="none"/>
          <w:lang w:val="en-US" w:eastAsia="zh-CN"/>
        </w:rPr>
        <w:t>应急调拨，填补疫苗缺口</w:t>
      </w:r>
      <w:r>
        <w:rPr>
          <w:rStyle w:val="25"/>
          <w:rFonts w:hint="default" w:ascii="仿宋" w:hAnsi="仿宋" w:eastAsia="仿宋" w:cs="Times New Roman"/>
          <w:b w:val="0"/>
          <w:bCs/>
          <w:color w:val="auto"/>
          <w:spacing w:val="-4"/>
          <w:sz w:val="32"/>
          <w:szCs w:val="32"/>
          <w:highlight w:val="none"/>
          <w:lang w:val="en-US" w:eastAsia="zh-CN"/>
        </w:rPr>
        <w:t>；储备防护服及配套防护用品</w:t>
      </w:r>
      <w:r>
        <w:rPr>
          <w:rStyle w:val="25"/>
          <w:rFonts w:hint="eastAsia" w:ascii="仿宋" w:hAnsi="仿宋" w:eastAsia="仿宋" w:cs="Times New Roman"/>
          <w:b w:val="0"/>
          <w:bCs/>
          <w:color w:val="auto"/>
          <w:spacing w:val="-4"/>
          <w:sz w:val="32"/>
          <w:szCs w:val="32"/>
          <w:highlight w:val="none"/>
          <w:lang w:val="en-US" w:eastAsia="zh-CN"/>
        </w:rPr>
        <w:t>，用于诊断、应急处置的人员防护。同时保障应急物资储备（包括疫苗、防疫物资）储存、运输费。</w:t>
      </w:r>
    </w:p>
    <w:p>
      <w:pPr>
        <w:spacing w:line="540" w:lineRule="exact"/>
        <w:ind w:firstLine="624" w:firstLineChars="200"/>
        <w:rPr>
          <w:rFonts w:hint="default" w:ascii="仿宋_GB2312" w:hAnsi="仿宋_GB2312" w:eastAsia="仿宋_GB2312" w:cs="仿宋_GB2312"/>
          <w:color w:val="auto"/>
          <w:sz w:val="32"/>
          <w:szCs w:val="32"/>
          <w:highlight w:val="none"/>
          <w:lang w:val="en-US" w:eastAsia="zh-CN"/>
        </w:rPr>
      </w:pPr>
      <w:r>
        <w:rPr>
          <w:rStyle w:val="25"/>
          <w:rFonts w:hint="eastAsia" w:ascii="仿宋" w:hAnsi="仿宋" w:eastAsia="仿宋" w:cs="Times New Roman"/>
          <w:b w:val="0"/>
          <w:bCs/>
          <w:color w:val="auto"/>
          <w:spacing w:val="-4"/>
          <w:sz w:val="32"/>
          <w:szCs w:val="32"/>
          <w:highlight w:val="none"/>
          <w:lang w:val="en-US" w:eastAsia="zh-CN"/>
        </w:rPr>
        <w:t xml:space="preserve">通过完善动物防疫物资储备建设项目，为新疆突发重大动物疫病预防和控制提供物资保障，快速、有效的控制重大动物疫病的发生和传播，显著提高重大动物疫病疫苗、物资等的应急能力，满足应对突发重大动物疫情应急需要，确保全区动物防疫以及应对突发重大动物疫情处置的物资保障。 </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3、绩效评价的范围</w:t>
      </w:r>
    </w:p>
    <w:p>
      <w:pPr>
        <w:ind w:firstLine="624" w:firstLineChars="200"/>
        <w:rPr>
          <w:rFonts w:ascii="仿宋_GB2312" w:hAnsi="仿宋" w:eastAsia="仿宋_GB2312"/>
          <w:color w:val="auto"/>
          <w:sz w:val="32"/>
          <w:szCs w:val="32"/>
          <w:highlight w:val="none"/>
        </w:rPr>
      </w:pPr>
      <w:r>
        <w:rPr>
          <w:rStyle w:val="25"/>
          <w:rFonts w:hint="eastAsia" w:ascii="仿宋" w:hAnsi="仿宋" w:eastAsia="仿宋" w:cs="Times New Roman"/>
          <w:b w:val="0"/>
          <w:bCs/>
          <w:color w:val="auto"/>
          <w:spacing w:val="-4"/>
          <w:sz w:val="32"/>
          <w:szCs w:val="32"/>
          <w:highlight w:val="none"/>
        </w:rPr>
        <w:t>通过</w:t>
      </w:r>
      <w:r>
        <w:rPr>
          <w:rStyle w:val="25"/>
          <w:rFonts w:hint="eastAsia" w:ascii="仿宋" w:hAnsi="仿宋" w:eastAsia="仿宋" w:cs="Times New Roman"/>
          <w:b w:val="0"/>
          <w:bCs/>
          <w:color w:val="auto"/>
          <w:spacing w:val="-4"/>
          <w:sz w:val="32"/>
          <w:szCs w:val="32"/>
          <w:highlight w:val="none"/>
          <w:lang w:eastAsia="zh-CN"/>
        </w:rPr>
        <w:t>疫苗抗体效价监测，了解全区动物疫苗免疫情况，</w:t>
      </w:r>
      <w:r>
        <w:rPr>
          <w:rStyle w:val="25"/>
          <w:rFonts w:hint="eastAsia" w:ascii="仿宋" w:hAnsi="仿宋" w:eastAsia="仿宋" w:cs="Times New Roman"/>
          <w:b w:val="0"/>
          <w:bCs/>
          <w:color w:val="auto"/>
          <w:spacing w:val="-4"/>
          <w:sz w:val="32"/>
          <w:szCs w:val="32"/>
          <w:highlight w:val="none"/>
        </w:rPr>
        <w:t>对新疆区内主要动物疫病进行流行病学调查，了解新疆重大动物疫病、人畜共患病及外来动物疫病流行和分布现状，</w:t>
      </w:r>
      <w:r>
        <w:rPr>
          <w:rStyle w:val="25"/>
          <w:rFonts w:hint="eastAsia" w:ascii="仿宋" w:hAnsi="仿宋" w:eastAsia="仿宋" w:cs="Times New Roman"/>
          <w:b w:val="0"/>
          <w:bCs/>
          <w:color w:val="auto"/>
          <w:spacing w:val="-4"/>
          <w:sz w:val="32"/>
          <w:szCs w:val="32"/>
          <w:highlight w:val="none"/>
          <w:lang w:eastAsia="zh-CN"/>
        </w:rPr>
        <w:t>对基层防疫人员培训、兽医实验室能力评估</w:t>
      </w:r>
      <w:r>
        <w:rPr>
          <w:rStyle w:val="25"/>
          <w:rFonts w:hint="eastAsia" w:ascii="仿宋" w:hAnsi="仿宋" w:eastAsia="仿宋" w:cs="Times New Roman"/>
          <w:b w:val="0"/>
          <w:bCs/>
          <w:color w:val="auto"/>
          <w:spacing w:val="-4"/>
          <w:sz w:val="32"/>
          <w:szCs w:val="32"/>
          <w:highlight w:val="none"/>
        </w:rPr>
        <w:t>，进一步提</w:t>
      </w:r>
      <w:r>
        <w:rPr>
          <w:rStyle w:val="25"/>
          <w:rFonts w:hint="eastAsia" w:ascii="仿宋" w:hAnsi="仿宋" w:eastAsia="仿宋" w:cs="Times New Roman"/>
          <w:b w:val="0"/>
          <w:bCs/>
          <w:color w:val="auto"/>
          <w:spacing w:val="-4"/>
          <w:sz w:val="32"/>
          <w:szCs w:val="32"/>
          <w:highlight w:val="none"/>
          <w:lang w:eastAsia="zh-CN"/>
        </w:rPr>
        <w:t>升</w:t>
      </w:r>
      <w:r>
        <w:rPr>
          <w:rStyle w:val="25"/>
          <w:rFonts w:hint="eastAsia" w:ascii="仿宋" w:hAnsi="仿宋" w:eastAsia="仿宋" w:cs="Times New Roman"/>
          <w:b w:val="0"/>
          <w:bCs/>
          <w:color w:val="auto"/>
          <w:spacing w:val="-4"/>
          <w:sz w:val="32"/>
          <w:szCs w:val="32"/>
          <w:highlight w:val="none"/>
        </w:rPr>
        <w:t>动物疫病防控</w:t>
      </w:r>
      <w:r>
        <w:rPr>
          <w:rStyle w:val="25"/>
          <w:rFonts w:hint="eastAsia" w:ascii="仿宋" w:hAnsi="仿宋" w:eastAsia="仿宋" w:cs="Times New Roman"/>
          <w:b w:val="0"/>
          <w:bCs/>
          <w:color w:val="auto"/>
          <w:spacing w:val="-4"/>
          <w:sz w:val="32"/>
          <w:szCs w:val="32"/>
          <w:highlight w:val="none"/>
          <w:lang w:eastAsia="zh-CN"/>
        </w:rPr>
        <w:t>及实验室检测</w:t>
      </w:r>
      <w:r>
        <w:rPr>
          <w:rStyle w:val="25"/>
          <w:rFonts w:hint="eastAsia" w:ascii="仿宋" w:hAnsi="仿宋" w:eastAsia="仿宋" w:cs="Times New Roman"/>
          <w:b w:val="0"/>
          <w:bCs/>
          <w:color w:val="auto"/>
          <w:spacing w:val="-4"/>
          <w:sz w:val="32"/>
          <w:szCs w:val="32"/>
          <w:highlight w:val="none"/>
        </w:rPr>
        <w:t>水平</w:t>
      </w:r>
      <w:r>
        <w:rPr>
          <w:rStyle w:val="25"/>
          <w:rFonts w:hint="eastAsia" w:ascii="仿宋" w:hAnsi="仿宋" w:eastAsia="仿宋" w:cs="Times New Roman"/>
          <w:b w:val="0"/>
          <w:bCs/>
          <w:color w:val="auto"/>
          <w:spacing w:val="-4"/>
          <w:sz w:val="32"/>
          <w:szCs w:val="32"/>
          <w:highlight w:val="none"/>
          <w:lang w:eastAsia="zh-CN"/>
        </w:rPr>
        <w:t>，提升</w:t>
      </w:r>
      <w:r>
        <w:rPr>
          <w:rStyle w:val="25"/>
          <w:rFonts w:hint="eastAsia" w:ascii="仿宋" w:hAnsi="仿宋" w:eastAsia="仿宋" w:cs="Times New Roman"/>
          <w:b w:val="0"/>
          <w:bCs/>
          <w:color w:val="auto"/>
          <w:spacing w:val="-4"/>
          <w:sz w:val="32"/>
          <w:szCs w:val="32"/>
          <w:highlight w:val="none"/>
        </w:rPr>
        <w:t>抵御疫病的侵袭</w:t>
      </w:r>
      <w:r>
        <w:rPr>
          <w:rStyle w:val="25"/>
          <w:rFonts w:hint="eastAsia" w:ascii="仿宋" w:hAnsi="仿宋" w:eastAsia="仿宋" w:cs="Times New Roman"/>
          <w:b w:val="0"/>
          <w:bCs/>
          <w:color w:val="auto"/>
          <w:spacing w:val="-4"/>
          <w:sz w:val="32"/>
          <w:szCs w:val="32"/>
          <w:highlight w:val="none"/>
          <w:lang w:eastAsia="zh-CN"/>
        </w:rPr>
        <w:t>能力</w:t>
      </w:r>
      <w:r>
        <w:rPr>
          <w:rFonts w:hint="eastAsia" w:ascii="仿宋_GB2312" w:eastAsia="仿宋_GB2312"/>
          <w:color w:val="auto"/>
          <w:sz w:val="32"/>
          <w:szCs w:val="32"/>
          <w:highlight w:val="none"/>
        </w:rPr>
        <w:t>。</w:t>
      </w:r>
      <w:r>
        <w:rPr>
          <w:rFonts w:hint="eastAsia" w:ascii="仿宋_GB2312" w:hAnsi="仿宋" w:eastAsia="仿宋_GB2312"/>
          <w:color w:val="auto"/>
          <w:sz w:val="32"/>
          <w:szCs w:val="32"/>
          <w:highlight w:val="none"/>
        </w:rPr>
        <w:t>具体效益如下：</w:t>
      </w:r>
    </w:p>
    <w:p>
      <w:pPr>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经济性：</w:t>
      </w:r>
      <w:r>
        <w:rPr>
          <w:rFonts w:hint="eastAsia" w:ascii="仿宋_GB2312" w:eastAsia="仿宋_GB2312"/>
          <w:color w:val="auto"/>
          <w:sz w:val="32"/>
          <w:szCs w:val="32"/>
          <w:highlight w:val="none"/>
        </w:rPr>
        <w:t>进一步提高动物疫病防控水平，抵御疫病的侵袭，</w:t>
      </w:r>
      <w:r>
        <w:rPr>
          <w:rFonts w:hint="eastAsia" w:ascii="仿宋_GB2312" w:eastAsia="仿宋_GB2312"/>
          <w:color w:val="auto"/>
          <w:sz w:val="32"/>
          <w:szCs w:val="32"/>
          <w:highlight w:val="none"/>
          <w:lang w:eastAsia="zh-CN"/>
        </w:rPr>
        <w:t>做到</w:t>
      </w:r>
      <w:r>
        <w:rPr>
          <w:rFonts w:hint="eastAsia" w:ascii="仿宋_GB2312" w:hAnsi="仿宋" w:eastAsia="仿宋_GB2312"/>
          <w:color w:val="auto"/>
          <w:sz w:val="32"/>
          <w:szCs w:val="32"/>
          <w:highlight w:val="none"/>
        </w:rPr>
        <w:t>迅速防控动物疫病，阻止疫情扩散，减少经济损失</w:t>
      </w:r>
      <w:r>
        <w:rPr>
          <w:rFonts w:hint="eastAsia" w:ascii="仿宋_GB2312" w:hAnsi="仿宋" w:eastAsia="仿宋_GB2312"/>
          <w:color w:val="auto"/>
          <w:sz w:val="32"/>
          <w:szCs w:val="32"/>
          <w:highlight w:val="none"/>
          <w:lang w:eastAsia="zh-CN"/>
        </w:rPr>
        <w:t>，</w:t>
      </w:r>
      <w:r>
        <w:rPr>
          <w:rFonts w:hint="eastAsia" w:ascii="仿宋_GB2312" w:eastAsia="仿宋_GB2312"/>
          <w:color w:val="auto"/>
          <w:sz w:val="32"/>
          <w:szCs w:val="32"/>
          <w:highlight w:val="none"/>
          <w:lang w:eastAsia="zh-CN"/>
        </w:rPr>
        <w:t>我区</w:t>
      </w:r>
      <w:r>
        <w:rPr>
          <w:rStyle w:val="25"/>
          <w:rFonts w:hint="eastAsia" w:ascii="仿宋" w:hAnsi="仿宋" w:eastAsia="仿宋"/>
          <w:b w:val="0"/>
          <w:color w:val="auto"/>
          <w:spacing w:val="-4"/>
          <w:sz w:val="32"/>
          <w:szCs w:val="32"/>
          <w:highlight w:val="none"/>
        </w:rPr>
        <w:t>重大动物疫病的免疫合格率均达到了国家规定的标准。重大动物疫病和常见病的发病率和死亡率处于稳定控制的水平。</w:t>
      </w:r>
    </w:p>
    <w:p>
      <w:pPr>
        <w:rPr>
          <w:rFonts w:ascii="仿宋_GB2312" w:hAnsi="仿宋" w:eastAsia="仿宋_GB2312"/>
          <w:color w:val="auto"/>
          <w:sz w:val="32"/>
          <w:szCs w:val="32"/>
          <w:highlight w:val="none"/>
        </w:rPr>
      </w:pPr>
      <w:r>
        <w:rPr>
          <w:rFonts w:hint="eastAsia" w:ascii="仿宋_GB2312" w:eastAsia="仿宋_GB2312"/>
          <w:color w:val="auto"/>
          <w:sz w:val="32"/>
          <w:szCs w:val="32"/>
          <w:highlight w:val="none"/>
        </w:rPr>
        <w:t>全年</w:t>
      </w:r>
      <w:r>
        <w:rPr>
          <w:rFonts w:hint="eastAsia" w:ascii="仿宋_GB2312" w:eastAsia="仿宋_GB2312"/>
          <w:color w:val="auto"/>
          <w:sz w:val="32"/>
          <w:szCs w:val="32"/>
          <w:highlight w:val="none"/>
          <w:lang w:eastAsia="zh-CN"/>
        </w:rPr>
        <w:t>未</w:t>
      </w:r>
      <w:r>
        <w:rPr>
          <w:rFonts w:hint="eastAsia" w:ascii="仿宋_GB2312" w:eastAsia="仿宋_GB2312"/>
          <w:color w:val="auto"/>
          <w:sz w:val="32"/>
          <w:szCs w:val="32"/>
          <w:highlight w:val="none"/>
        </w:rPr>
        <w:t>发生重大动物疫情，保障畜牧业健康发展和公共卫生安全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产生较大的经济效益和积极的社会效益</w:t>
      </w:r>
      <w:r>
        <w:rPr>
          <w:rFonts w:hint="eastAsia" w:ascii="仿宋_GB2312" w:hAnsi="仿宋" w:eastAsia="仿宋_GB2312"/>
          <w:color w:val="auto"/>
          <w:sz w:val="32"/>
          <w:szCs w:val="32"/>
          <w:highlight w:val="none"/>
        </w:rPr>
        <w:t>。</w:t>
      </w:r>
    </w:p>
    <w:p>
      <w:pPr>
        <w:spacing w:line="360" w:lineRule="auto"/>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效率</w:t>
      </w:r>
      <w:r>
        <w:rPr>
          <w:rFonts w:ascii="仿宋_GB2312" w:hAnsi="仿宋" w:eastAsia="仿宋_GB2312"/>
          <w:color w:val="auto"/>
          <w:sz w:val="32"/>
          <w:szCs w:val="32"/>
          <w:highlight w:val="none"/>
        </w:rPr>
        <w:t>性</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能</w:t>
      </w:r>
      <w:r>
        <w:rPr>
          <w:rFonts w:hint="eastAsia" w:ascii="仿宋_GB2312" w:hAnsi="仿宋" w:eastAsia="仿宋_GB2312"/>
          <w:color w:val="auto"/>
          <w:sz w:val="32"/>
          <w:szCs w:val="32"/>
          <w:highlight w:val="none"/>
        </w:rPr>
        <w:t>有效地预防、控制、扑灭动物疫情，</w:t>
      </w:r>
      <w:r>
        <w:rPr>
          <w:rFonts w:hint="eastAsia" w:ascii="仿宋_GB2312" w:hAnsi="仿宋" w:eastAsia="仿宋_GB2312"/>
          <w:color w:val="auto"/>
          <w:sz w:val="32"/>
          <w:szCs w:val="32"/>
          <w:highlight w:val="none"/>
          <w:lang w:eastAsia="zh-CN"/>
        </w:rPr>
        <w:t>对发生</w:t>
      </w:r>
      <w:r>
        <w:rPr>
          <w:rFonts w:hint="eastAsia" w:ascii="仿宋_GB2312" w:eastAsia="仿宋_GB2312"/>
          <w:color w:val="auto"/>
          <w:sz w:val="32"/>
          <w:highlight w:val="none"/>
        </w:rPr>
        <w:t>公共卫生事件</w:t>
      </w:r>
      <w:r>
        <w:rPr>
          <w:rFonts w:hint="eastAsia" w:ascii="仿宋_GB2312" w:eastAsia="仿宋_GB2312"/>
          <w:color w:val="auto"/>
          <w:sz w:val="32"/>
          <w:highlight w:val="none"/>
          <w:lang w:eastAsia="zh-CN"/>
        </w:rPr>
        <w:t>能快速做出</w:t>
      </w:r>
      <w:r>
        <w:rPr>
          <w:rFonts w:hint="eastAsia" w:ascii="仿宋_GB2312" w:eastAsia="仿宋_GB2312"/>
          <w:color w:val="auto"/>
          <w:sz w:val="32"/>
          <w:highlight w:val="none"/>
        </w:rPr>
        <w:t>应急反应</w:t>
      </w:r>
      <w:r>
        <w:rPr>
          <w:rFonts w:hint="eastAsia" w:ascii="仿宋_GB2312" w:eastAsia="仿宋_GB2312"/>
          <w:color w:val="auto"/>
          <w:sz w:val="32"/>
          <w:highlight w:val="none"/>
          <w:lang w:eastAsia="zh-CN"/>
        </w:rPr>
        <w:t>、处置，为</w:t>
      </w:r>
      <w:r>
        <w:rPr>
          <w:rFonts w:hint="eastAsia" w:ascii="仿宋_GB2312" w:hAnsi="仿宋" w:eastAsia="仿宋_GB2312"/>
          <w:color w:val="auto"/>
          <w:sz w:val="32"/>
          <w:szCs w:val="32"/>
          <w:highlight w:val="none"/>
        </w:rPr>
        <w:t>动物</w:t>
      </w:r>
      <w:r>
        <w:rPr>
          <w:rFonts w:hint="eastAsia" w:ascii="仿宋_GB2312" w:hAnsi="仿宋" w:eastAsia="仿宋_GB2312"/>
          <w:color w:val="auto"/>
          <w:sz w:val="32"/>
          <w:szCs w:val="32"/>
          <w:highlight w:val="none"/>
          <w:lang w:eastAsia="zh-CN"/>
        </w:rPr>
        <w:t>疫情防控快速</w:t>
      </w:r>
      <w:r>
        <w:rPr>
          <w:rFonts w:hint="eastAsia" w:ascii="仿宋_GB2312" w:hAnsi="仿宋" w:eastAsia="仿宋_GB2312"/>
          <w:color w:val="auto"/>
          <w:sz w:val="32"/>
          <w:szCs w:val="32"/>
          <w:highlight w:val="none"/>
        </w:rPr>
        <w:t>提供</w:t>
      </w:r>
      <w:r>
        <w:rPr>
          <w:rFonts w:hint="eastAsia" w:ascii="仿宋_GB2312" w:hAnsi="仿宋" w:eastAsia="仿宋_GB2312"/>
          <w:color w:val="auto"/>
          <w:sz w:val="32"/>
          <w:szCs w:val="32"/>
          <w:highlight w:val="none"/>
          <w:lang w:eastAsia="zh-CN"/>
        </w:rPr>
        <w:t>准确的实验</w:t>
      </w:r>
      <w:r>
        <w:rPr>
          <w:rFonts w:hint="eastAsia" w:ascii="仿宋_GB2312" w:hAnsi="仿宋" w:eastAsia="仿宋_GB2312"/>
          <w:color w:val="auto"/>
          <w:sz w:val="32"/>
          <w:szCs w:val="32"/>
          <w:highlight w:val="none"/>
        </w:rPr>
        <w:t xml:space="preserve">数据。 </w:t>
      </w:r>
    </w:p>
    <w:p>
      <w:pPr>
        <w:spacing w:line="360" w:lineRule="auto"/>
        <w:ind w:firstLine="624" w:firstLineChars="200"/>
        <w:rPr>
          <w:rStyle w:val="25"/>
          <w:rFonts w:ascii="仿宋_GB2312" w:eastAsia="仿宋_GB2312"/>
          <w:b w:val="0"/>
          <w:bCs w:val="0"/>
          <w:color w:val="auto"/>
          <w:spacing w:val="-4"/>
          <w:sz w:val="32"/>
          <w:szCs w:val="32"/>
          <w:highlight w:val="none"/>
        </w:rPr>
      </w:pPr>
      <w:r>
        <w:rPr>
          <w:rStyle w:val="25"/>
          <w:rFonts w:hint="eastAsia" w:ascii="仿宋_GB2312" w:eastAsia="仿宋_GB2312"/>
          <w:b w:val="0"/>
          <w:bCs w:val="0"/>
          <w:color w:val="auto"/>
          <w:spacing w:val="-4"/>
          <w:sz w:val="32"/>
          <w:szCs w:val="32"/>
          <w:highlight w:val="none"/>
        </w:rPr>
        <w:t>有益性：</w:t>
      </w:r>
      <w:r>
        <w:rPr>
          <w:rFonts w:hint="eastAsia" w:ascii="仿宋_GB2312" w:eastAsia="仿宋_GB2312"/>
          <w:color w:val="auto"/>
          <w:sz w:val="32"/>
          <w:highlight w:val="none"/>
          <w:lang w:eastAsia="zh-CN"/>
        </w:rPr>
        <w:t>提高动物疫病临床诊断、治疗、防控及</w:t>
      </w:r>
      <w:r>
        <w:rPr>
          <w:rFonts w:hint="eastAsia" w:ascii="仿宋_GB2312" w:eastAsia="仿宋_GB2312"/>
          <w:color w:val="auto"/>
          <w:sz w:val="32"/>
          <w:highlight w:val="none"/>
        </w:rPr>
        <w:t>突发动物公共卫生事件的应急反应能力</w:t>
      </w:r>
      <w:r>
        <w:rPr>
          <w:rFonts w:hint="eastAsia" w:ascii="仿宋_GB2312" w:eastAsia="仿宋_GB2312"/>
          <w:color w:val="auto"/>
          <w:sz w:val="32"/>
          <w:highlight w:val="none"/>
          <w:lang w:eastAsia="zh-CN"/>
        </w:rPr>
        <w:t>，</w:t>
      </w:r>
      <w:r>
        <w:rPr>
          <w:rFonts w:hint="eastAsia" w:ascii="仿宋_GB2312" w:eastAsia="仿宋_GB2312"/>
          <w:color w:val="auto"/>
          <w:sz w:val="32"/>
          <w:highlight w:val="none"/>
        </w:rPr>
        <w:t>充实、健全和完善自治区动物</w:t>
      </w:r>
      <w:r>
        <w:rPr>
          <w:rFonts w:hint="eastAsia" w:ascii="仿宋_GB2312" w:eastAsia="仿宋_GB2312"/>
          <w:color w:val="auto"/>
          <w:sz w:val="32"/>
          <w:highlight w:val="none"/>
          <w:lang w:eastAsia="zh-CN"/>
        </w:rPr>
        <w:t>疫病预防</w:t>
      </w:r>
      <w:r>
        <w:rPr>
          <w:rFonts w:hint="eastAsia" w:ascii="仿宋_GB2312" w:eastAsia="仿宋_GB2312"/>
          <w:color w:val="auto"/>
          <w:sz w:val="32"/>
          <w:highlight w:val="none"/>
        </w:rPr>
        <w:t>监督体系的结构和功能，提高我区动物</w:t>
      </w:r>
      <w:r>
        <w:rPr>
          <w:rFonts w:hint="eastAsia" w:ascii="仿宋_GB2312" w:eastAsia="仿宋_GB2312"/>
          <w:color w:val="auto"/>
          <w:sz w:val="32"/>
          <w:highlight w:val="none"/>
          <w:lang w:eastAsia="zh-CN"/>
        </w:rPr>
        <w:t>疫病防控</w:t>
      </w:r>
      <w:r>
        <w:rPr>
          <w:rFonts w:hint="eastAsia" w:ascii="仿宋_GB2312" w:eastAsia="仿宋_GB2312"/>
          <w:color w:val="auto"/>
          <w:sz w:val="32"/>
          <w:highlight w:val="none"/>
        </w:rPr>
        <w:t>工作的整体技术水平</w:t>
      </w:r>
      <w:r>
        <w:rPr>
          <w:rFonts w:hint="eastAsia" w:ascii="仿宋_GB2312" w:eastAsia="仿宋_GB2312"/>
          <w:color w:val="auto"/>
          <w:sz w:val="32"/>
          <w:highlight w:val="none"/>
          <w:lang w:eastAsia="zh-CN"/>
        </w:rPr>
        <w:t>及管理水平</w:t>
      </w:r>
      <w:r>
        <w:rPr>
          <w:rFonts w:hint="eastAsia" w:ascii="仿宋_GB2312" w:eastAsia="仿宋_GB2312"/>
          <w:color w:val="auto"/>
          <w:sz w:val="32"/>
          <w:highlight w:val="none"/>
        </w:rPr>
        <w:t>。</w:t>
      </w:r>
    </w:p>
    <w:p>
      <w:pPr>
        <w:keepNext w:val="0"/>
        <w:keepLines w:val="0"/>
        <w:pageBreakBefore w:val="0"/>
        <w:kinsoku/>
        <w:wordWrap/>
        <w:overflowPunct/>
        <w:topLinePunct w:val="0"/>
        <w:autoSpaceDE/>
        <w:autoSpaceDN/>
        <w:bidi w:val="0"/>
        <w:adjustRightInd/>
        <w:snapToGrid/>
        <w:spacing w:line="560" w:lineRule="exact"/>
        <w:ind w:firstLine="660"/>
        <w:textAlignment w:val="auto"/>
        <w:rPr>
          <w:color w:val="auto"/>
          <w:highlight w:val="none"/>
        </w:rPr>
      </w:pPr>
      <w:r>
        <w:rPr>
          <w:rStyle w:val="25"/>
          <w:rFonts w:hint="eastAsia" w:ascii="仿宋_GB2312" w:eastAsia="仿宋_GB2312"/>
          <w:b w:val="0"/>
          <w:bCs w:val="0"/>
          <w:color w:val="auto"/>
          <w:spacing w:val="-4"/>
          <w:sz w:val="32"/>
          <w:szCs w:val="32"/>
          <w:highlight w:val="none"/>
        </w:rPr>
        <w:t>可持续性：动物疫病防控工作是一项长期而艰巨的工作，需要全社会的参与和支持。</w:t>
      </w:r>
      <w:r>
        <w:rPr>
          <w:rStyle w:val="25"/>
          <w:rFonts w:hint="eastAsia" w:ascii="仿宋_GB2312" w:eastAsia="仿宋_GB2312"/>
          <w:b w:val="0"/>
          <w:bCs w:val="0"/>
          <w:color w:val="auto"/>
          <w:spacing w:val="-4"/>
          <w:sz w:val="32"/>
          <w:szCs w:val="32"/>
          <w:highlight w:val="none"/>
          <w:lang w:eastAsia="zh-CN"/>
        </w:rPr>
        <w:t>需</w:t>
      </w:r>
      <w:r>
        <w:rPr>
          <w:rStyle w:val="25"/>
          <w:rFonts w:hint="eastAsia" w:ascii="仿宋_GB2312" w:eastAsia="仿宋_GB2312"/>
          <w:b w:val="0"/>
          <w:bCs w:val="0"/>
          <w:color w:val="auto"/>
          <w:spacing w:val="-4"/>
          <w:sz w:val="32"/>
          <w:szCs w:val="32"/>
          <w:highlight w:val="none"/>
        </w:rPr>
        <w:t>加强动物防疫法规的宣传和普及，积极开展防控知识培训，加大对基层兽医技术人员、规模化养殖场和散养农户的培训工作，开展重大动物疫病防控、疫苗免疫规程等相关知识培训，让</w:t>
      </w:r>
      <w:r>
        <w:rPr>
          <w:rStyle w:val="25"/>
          <w:rFonts w:hint="eastAsia" w:ascii="仿宋_GB2312" w:eastAsia="仿宋_GB2312"/>
          <w:b w:val="0"/>
          <w:bCs w:val="0"/>
          <w:color w:val="auto"/>
          <w:spacing w:val="-4"/>
          <w:sz w:val="32"/>
          <w:szCs w:val="32"/>
          <w:highlight w:val="none"/>
          <w:lang w:eastAsia="zh-CN"/>
        </w:rPr>
        <w:t>基层防疫员</w:t>
      </w:r>
      <w:r>
        <w:rPr>
          <w:rStyle w:val="25"/>
          <w:rFonts w:hint="eastAsia" w:ascii="仿宋_GB2312" w:eastAsia="仿宋_GB2312"/>
          <w:b w:val="0"/>
          <w:bCs w:val="0"/>
          <w:color w:val="auto"/>
          <w:spacing w:val="-4"/>
          <w:sz w:val="32"/>
          <w:szCs w:val="32"/>
          <w:highlight w:val="none"/>
        </w:rPr>
        <w:t>切实掌握动物疫病防控工作要领，充分认识到开展免疫工作的重要性和必要性，熟练掌握免疫程序和规范要求，熟知疫苗保存和疫苗用量的知识，做到科学免疫，全面提高综合防控意识，确保重大动物疫病防制效果，从最大程度上降低疫病发生风险。加大对兽医实验室的建设力度，加强动物防疫基础设施建设，增加</w:t>
      </w:r>
      <w:r>
        <w:rPr>
          <w:rStyle w:val="25"/>
          <w:rFonts w:hint="eastAsia" w:ascii="仿宋_GB2312" w:eastAsia="仿宋_GB2312"/>
          <w:b w:val="0"/>
          <w:bCs w:val="0"/>
          <w:color w:val="auto"/>
          <w:spacing w:val="-4"/>
          <w:sz w:val="32"/>
          <w:szCs w:val="32"/>
          <w:highlight w:val="none"/>
          <w:lang w:eastAsia="zh-CN"/>
        </w:rPr>
        <w:t>和</w:t>
      </w:r>
      <w:r>
        <w:rPr>
          <w:rStyle w:val="25"/>
          <w:rFonts w:hint="eastAsia" w:ascii="仿宋_GB2312" w:eastAsia="仿宋_GB2312"/>
          <w:b w:val="0"/>
          <w:bCs w:val="0"/>
          <w:color w:val="auto"/>
          <w:spacing w:val="-4"/>
          <w:sz w:val="32"/>
          <w:szCs w:val="32"/>
          <w:highlight w:val="none"/>
        </w:rPr>
        <w:t>更新实验室仪器设备，做好检测人员培训，快速提高重大动物疫病血清学及病原学监测技术水平，做好日常监测，为今后做好免疫工作提供科学可靠的强力支撑。</w:t>
      </w:r>
    </w:p>
    <w:p>
      <w:pPr>
        <w:spacing w:line="600" w:lineRule="exact"/>
        <w:ind w:firstLine="642" w:firstLineChars="200"/>
        <w:rPr>
          <w:color w:val="auto"/>
          <w:highlight w:val="none"/>
        </w:rPr>
      </w:pPr>
      <w:r>
        <w:rPr>
          <w:rFonts w:eastAsia="楷体_GB2312"/>
          <w:b/>
          <w:bCs/>
          <w:color w:val="auto"/>
          <w:sz w:val="32"/>
          <w:szCs w:val="32"/>
          <w:highlight w:val="none"/>
        </w:rPr>
        <w:t>（二）绩效评价原则、评价指标体系（详情见表1）、评价方法、评价标准。</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1、绩效评价原则</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本次项目绩效评价遵循以下基本原则：</w:t>
      </w:r>
    </w:p>
    <w:p>
      <w:pPr>
        <w:pStyle w:val="2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（1）科学公正。绩效评价应当运用科学合理的方法，按照规范的程序，对项目绩效进行客观、公正的反映。</w:t>
      </w:r>
    </w:p>
    <w:p>
      <w:pPr>
        <w:pStyle w:val="2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2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（3）激励约束。绩效评价结果应与预算安排、政策调整、改进管理实质性挂钩，体现奖优罚劣和激励相容导向，有效要安排、低效要压减、无效要问责。</w:t>
      </w:r>
    </w:p>
    <w:p>
      <w:pPr>
        <w:pStyle w:val="2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（4）公开透明。绩效评价结果应依法依规公开，并自觉接受社会监督。</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2、评价指标体系</w:t>
      </w:r>
    </w:p>
    <w:p>
      <w:pPr>
        <w:spacing w:line="600" w:lineRule="exact"/>
        <w:ind w:firstLine="708" w:firstLineChars="200"/>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（1）确定评价指标</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（2）确定权重</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w:t>
      </w:r>
      <w:r>
        <w:rPr>
          <w:rFonts w:hint="eastAsia" w:eastAsia="仿宋_GB2312"/>
          <w:color w:val="auto"/>
          <w:spacing w:val="17"/>
          <w:sz w:val="32"/>
          <w:szCs w:val="32"/>
          <w:highlight w:val="none"/>
          <w:lang w:val="en-US" w:eastAsia="zh-CN"/>
        </w:rPr>
        <w:t>20</w:t>
      </w:r>
      <w:r>
        <w:rPr>
          <w:rFonts w:eastAsia="仿宋_GB2312"/>
          <w:color w:val="auto"/>
          <w:spacing w:val="17"/>
          <w:sz w:val="32"/>
          <w:szCs w:val="32"/>
          <w:highlight w:val="none"/>
        </w:rPr>
        <w:t>分，项目过程权重为</w:t>
      </w:r>
      <w:r>
        <w:rPr>
          <w:rFonts w:hint="eastAsia" w:eastAsia="仿宋_GB2312"/>
          <w:color w:val="auto"/>
          <w:spacing w:val="17"/>
          <w:sz w:val="32"/>
          <w:szCs w:val="32"/>
          <w:highlight w:val="none"/>
          <w:lang w:val="en-US" w:eastAsia="zh-CN"/>
        </w:rPr>
        <w:t>20</w:t>
      </w:r>
      <w:r>
        <w:rPr>
          <w:rFonts w:eastAsia="仿宋_GB2312"/>
          <w:color w:val="auto"/>
          <w:spacing w:val="17"/>
          <w:sz w:val="32"/>
          <w:szCs w:val="32"/>
          <w:highlight w:val="none"/>
        </w:rPr>
        <w:t>分，项目产出权重为</w:t>
      </w:r>
      <w:r>
        <w:rPr>
          <w:rFonts w:hint="eastAsia" w:eastAsia="仿宋_GB2312"/>
          <w:color w:val="auto"/>
          <w:spacing w:val="17"/>
          <w:sz w:val="32"/>
          <w:szCs w:val="32"/>
          <w:highlight w:val="none"/>
          <w:lang w:val="en-US" w:eastAsia="zh-CN"/>
        </w:rPr>
        <w:t>4</w:t>
      </w:r>
      <w:r>
        <w:rPr>
          <w:rFonts w:eastAsia="仿宋_GB2312"/>
          <w:color w:val="auto"/>
          <w:spacing w:val="17"/>
          <w:sz w:val="32"/>
          <w:szCs w:val="32"/>
          <w:highlight w:val="none"/>
        </w:rPr>
        <w:t>0分，项目效益权重为</w:t>
      </w:r>
      <w:r>
        <w:rPr>
          <w:rFonts w:hint="eastAsia" w:eastAsia="仿宋_GB2312"/>
          <w:color w:val="auto"/>
          <w:spacing w:val="17"/>
          <w:sz w:val="32"/>
          <w:szCs w:val="32"/>
          <w:highlight w:val="none"/>
          <w:lang w:val="en-US" w:eastAsia="zh-CN"/>
        </w:rPr>
        <w:t>2</w:t>
      </w:r>
      <w:r>
        <w:rPr>
          <w:rFonts w:eastAsia="仿宋_GB2312"/>
          <w:color w:val="auto"/>
          <w:spacing w:val="17"/>
          <w:sz w:val="32"/>
          <w:szCs w:val="32"/>
          <w:highlight w:val="none"/>
        </w:rPr>
        <w:t>0分。</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0"/>
        <w:spacing w:before="0" w:after="0" w:line="600" w:lineRule="exact"/>
        <w:ind w:firstLine="708" w:firstLineChars="200"/>
        <w:jc w:val="both"/>
        <w:rPr>
          <w:rFonts w:ascii="Times New Roman" w:hAnsi="Times New Roman" w:eastAsia="仿宋_GB2312"/>
          <w:b w:val="0"/>
          <w:bCs w:val="0"/>
          <w:color w:val="auto"/>
          <w:spacing w:val="17"/>
          <w:kern w:val="2"/>
          <w:highlight w:val="none"/>
        </w:rPr>
      </w:pPr>
      <w:r>
        <w:rPr>
          <w:rFonts w:ascii="Times New Roman" w:hAnsi="Times New Roman" w:eastAsia="仿宋_GB2312"/>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0"/>
        <w:widowControl w:val="0"/>
        <w:spacing w:before="0" w:after="0" w:line="600" w:lineRule="exact"/>
        <w:ind w:firstLine="708" w:firstLineChars="200"/>
        <w:jc w:val="both"/>
        <w:outlineLvl w:val="9"/>
        <w:rPr>
          <w:rFonts w:ascii="Times New Roman" w:hAnsi="Times New Roman" w:eastAsia="仿宋_GB2312"/>
          <w:b w:val="0"/>
          <w:bCs w:val="0"/>
          <w:color w:val="auto"/>
          <w:spacing w:val="17"/>
          <w:highlight w:val="none"/>
        </w:rPr>
      </w:pPr>
      <w:r>
        <w:rPr>
          <w:rFonts w:ascii="Times New Roman" w:hAnsi="Times New Roman" w:eastAsia="仿宋_GB2312"/>
          <w:b w:val="0"/>
          <w:bCs w:val="0"/>
          <w:color w:val="auto"/>
          <w:spacing w:val="17"/>
          <w:highlight w:val="none"/>
        </w:rPr>
        <w:t>具体评价指标体系详情见附件1</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3、绩效评价方法</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（1）比较法</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通过对绩效目标与实施效果、历史与当期情况，综合分析绩效目标实现程度。对</w:t>
      </w:r>
      <w:r>
        <w:rPr>
          <w:rFonts w:eastAsia="仿宋_GB2312"/>
          <w:color w:val="auto"/>
          <w:sz w:val="32"/>
          <w:szCs w:val="32"/>
          <w:highlight w:val="none"/>
        </w:rPr>
        <w:t>项目</w:t>
      </w:r>
      <w:r>
        <w:rPr>
          <w:rFonts w:eastAsia="仿宋_GB2312"/>
          <w:color w:val="auto"/>
          <w:spacing w:val="17"/>
          <w:sz w:val="32"/>
          <w:szCs w:val="32"/>
          <w:highlight w:val="none"/>
        </w:rPr>
        <w:t>最终验收情况与年度绩效目标对比、预算资金执行情况等相关因素进行比较。</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（2）因素分析法</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通过综合分析影响绩效目标实现、实施效果的内外因素，评价绩效目标实现程度。通过对</w:t>
      </w:r>
      <w:r>
        <w:rPr>
          <w:rFonts w:eastAsia="仿宋_GB2312"/>
          <w:color w:val="auto"/>
          <w:sz w:val="32"/>
          <w:szCs w:val="32"/>
          <w:highlight w:val="none"/>
        </w:rPr>
        <w:t>项目</w:t>
      </w:r>
      <w:r>
        <w:rPr>
          <w:rFonts w:eastAsia="仿宋_GB2312"/>
          <w:color w:val="auto"/>
          <w:spacing w:val="17"/>
          <w:sz w:val="32"/>
          <w:szCs w:val="32"/>
          <w:highlight w:val="none"/>
        </w:rPr>
        <w:t>的开展情况、项目产出数量、成本控制、资金拨付文件及自评报告等相关资料的收集和审核，综合分析各因素对绩效目标实现的影响。</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4、评价标准</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绩效评价标准通常包括计划标准、行业标准、历史标准等，用于对绩效指标完成情况进行比较。本次评价主要采用了计划标准和行业标准。</w:t>
      </w:r>
    </w:p>
    <w:p>
      <w:pPr>
        <w:pStyle w:val="20"/>
        <w:numPr>
          <w:ilvl w:val="0"/>
          <w:numId w:val="4"/>
        </w:numPr>
        <w:spacing w:before="0" w:after="0" w:line="600" w:lineRule="exact"/>
        <w:ind w:firstLine="710" w:firstLineChars="200"/>
        <w:jc w:val="both"/>
        <w:rPr>
          <w:rFonts w:ascii="楷体" w:hAnsi="楷体" w:eastAsia="楷体" w:cs="楷体"/>
          <w:color w:val="auto"/>
          <w:spacing w:val="17"/>
          <w:highlight w:val="none"/>
        </w:rPr>
      </w:pPr>
      <w:r>
        <w:rPr>
          <w:rFonts w:hint="eastAsia" w:ascii="楷体" w:hAnsi="楷体" w:eastAsia="楷体" w:cs="楷体"/>
          <w:color w:val="auto"/>
          <w:spacing w:val="17"/>
          <w:highlight w:val="none"/>
        </w:rPr>
        <w:t>绩效评价工作过程</w:t>
      </w:r>
    </w:p>
    <w:p>
      <w:pPr>
        <w:numPr>
          <w:ilvl w:val="0"/>
          <w:numId w:val="5"/>
        </w:numPr>
        <w:spacing w:line="600"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5"/>
        </w:numPr>
        <w:spacing w:line="600"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5"/>
        </w:numPr>
        <w:spacing w:line="600" w:lineRule="exact"/>
        <w:ind w:firstLine="640" w:firstLineChars="200"/>
        <w:rPr>
          <w:color w:val="auto"/>
          <w:sz w:val="32"/>
          <w:szCs w:val="32"/>
          <w:highlight w:val="none"/>
        </w:rPr>
      </w:pPr>
      <w:r>
        <w:rPr>
          <w:rFonts w:hint="eastAsia" w:eastAsia="仿宋_GB2312"/>
          <w:bCs/>
          <w:color w:val="auto"/>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6"/>
        </w:numPr>
        <w:spacing w:line="600" w:lineRule="exact"/>
        <w:ind w:firstLine="640" w:firstLineChars="200"/>
        <w:rPr>
          <w:rFonts w:eastAsia="黑体"/>
          <w:color w:val="auto"/>
          <w:sz w:val="32"/>
          <w:szCs w:val="32"/>
          <w:highlight w:val="none"/>
        </w:rPr>
      </w:pPr>
      <w:r>
        <w:rPr>
          <w:rFonts w:eastAsia="黑体"/>
          <w:color w:val="auto"/>
          <w:sz w:val="32"/>
          <w:szCs w:val="32"/>
          <w:highlight w:val="none"/>
        </w:rPr>
        <w:t>综合评价情况及评价结论（附相关评分表）</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对</w:t>
      </w:r>
      <w:r>
        <w:rPr>
          <w:rFonts w:hint="eastAsia" w:ascii="Times New Roman" w:hAnsi="Times New Roman" w:eastAsia="仿宋_GB2312"/>
          <w:b w:val="0"/>
          <w:bCs w:val="0"/>
          <w:color w:val="auto"/>
          <w:highlight w:val="none"/>
        </w:rPr>
        <w:t>自治区动物防疫等补助资金（动物疫病防控与检测培训、疫苗物资储备管理补助、生物药品补助经费）</w:t>
      </w:r>
      <w:r>
        <w:rPr>
          <w:rFonts w:ascii="Times New Roman" w:hAnsi="Times New Roman" w:eastAsia="仿宋_GB2312"/>
          <w:b w:val="0"/>
          <w:bCs w:val="0"/>
          <w:color w:val="auto"/>
          <w:highlight w:val="none"/>
        </w:rPr>
        <w:t xml:space="preserve">项目进行客观评价，最终评分结果：总得分为 </w:t>
      </w:r>
      <w:r>
        <w:rPr>
          <w:rFonts w:hint="default" w:ascii="Times New Roman" w:hAnsi="Times New Roman" w:eastAsia="仿宋_GB2312"/>
          <w:b w:val="0"/>
          <w:bCs w:val="0"/>
          <w:color w:val="auto"/>
          <w:highlight w:val="none"/>
          <w:lang w:eastAsia="zh-CN"/>
        </w:rPr>
        <w:t>100</w:t>
      </w:r>
      <w:r>
        <w:rPr>
          <w:rFonts w:ascii="Times New Roman" w:hAnsi="Times New Roman" w:eastAsia="仿宋_GB2312"/>
          <w:b w:val="0"/>
          <w:bCs w:val="0"/>
          <w:color w:val="auto"/>
          <w:highlight w:val="none"/>
        </w:rPr>
        <w:t>分，属于“优”。其中，项目决策类指标权重为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分，得分为</w:t>
      </w:r>
      <w:r>
        <w:rPr>
          <w:rFonts w:hint="default"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 xml:space="preserve">分，得分率为 </w:t>
      </w:r>
      <w:r>
        <w:rPr>
          <w:rFonts w:hint="default" w:ascii="Times New Roman" w:hAnsi="Times New Roman" w:eastAsia="仿宋_GB2312"/>
          <w:b w:val="0"/>
          <w:bCs w:val="0"/>
          <w:color w:val="auto"/>
          <w:highlight w:val="none"/>
        </w:rPr>
        <w:t>100</w:t>
      </w:r>
      <w:r>
        <w:rPr>
          <w:rFonts w:ascii="Times New Roman" w:hAnsi="Times New Roman" w:eastAsia="仿宋_GB2312"/>
          <w:b w:val="0"/>
          <w:bCs w:val="0"/>
          <w:color w:val="auto"/>
          <w:highlight w:val="none"/>
        </w:rPr>
        <w:t>%。项目过程类指标权重为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%。项目产出类指标权重为</w:t>
      </w:r>
      <w:r>
        <w:rPr>
          <w:rFonts w:hint="eastAsia" w:ascii="Times New Roman" w:hAnsi="Times New Roman" w:eastAsia="仿宋_GB2312"/>
          <w:b w:val="0"/>
          <w:bCs w:val="0"/>
          <w:color w:val="auto"/>
          <w:highlight w:val="none"/>
        </w:rPr>
        <w:t>40</w:t>
      </w:r>
      <w:r>
        <w:rPr>
          <w:rFonts w:ascii="Times New Roman" w:hAnsi="Times New Roman" w:eastAsia="仿宋_GB2312"/>
          <w:b w:val="0"/>
          <w:bCs w:val="0"/>
          <w:color w:val="auto"/>
          <w:highlight w:val="none"/>
        </w:rPr>
        <w:t>分，得分为</w:t>
      </w:r>
      <w:r>
        <w:rPr>
          <w:rFonts w:hint="default" w:ascii="Times New Roman" w:hAnsi="Times New Roman" w:eastAsia="仿宋_GB2312"/>
          <w:b w:val="0"/>
          <w:bCs w:val="0"/>
          <w:color w:val="auto"/>
          <w:highlight w:val="none"/>
        </w:rPr>
        <w:t>40</w:t>
      </w:r>
      <w:r>
        <w:rPr>
          <w:rFonts w:ascii="Times New Roman" w:hAnsi="Times New Roman" w:eastAsia="仿宋_GB2312"/>
          <w:b w:val="0"/>
          <w:bCs w:val="0"/>
          <w:color w:val="auto"/>
          <w:highlight w:val="none"/>
        </w:rPr>
        <w:t xml:space="preserve">分，得分率为 </w:t>
      </w:r>
      <w:r>
        <w:rPr>
          <w:rFonts w:hint="default" w:ascii="Times New Roman" w:hAnsi="Times New Roman" w:eastAsia="仿宋_GB2312"/>
          <w:b w:val="0"/>
          <w:bCs w:val="0"/>
          <w:color w:val="auto"/>
          <w:highlight w:val="none"/>
        </w:rPr>
        <w:t>100</w:t>
      </w:r>
      <w:r>
        <w:rPr>
          <w:rFonts w:ascii="Times New Roman" w:hAnsi="Times New Roman" w:eastAsia="仿宋_GB2312"/>
          <w:b w:val="0"/>
          <w:bCs w:val="0"/>
          <w:color w:val="auto"/>
          <w:highlight w:val="none"/>
        </w:rPr>
        <w:t>%。项目效益类指标权重为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w:t>
      </w:r>
    </w:p>
    <w:p>
      <w:pPr>
        <w:rPr>
          <w:color w:val="auto"/>
          <w:highlight w:val="none"/>
        </w:rPr>
      </w:pPr>
    </w:p>
    <w:p>
      <w:pPr>
        <w:pStyle w:val="20"/>
        <w:rPr>
          <w:rFonts w:ascii="Times New Roman" w:hAnsi="Times New Roman" w:eastAsia="仿宋_GB2312"/>
          <w:color w:val="auto"/>
          <w:sz w:val="30"/>
          <w:szCs w:val="30"/>
          <w:highlight w:val="none"/>
        </w:rPr>
      </w:pPr>
      <w:r>
        <w:rPr>
          <w:rFonts w:ascii="Times New Roman" w:hAnsi="Times New Roman" w:eastAsia="仿宋_GB2312"/>
          <w:color w:val="auto"/>
          <w:sz w:val="30"/>
          <w:szCs w:val="30"/>
          <w:highlight w:val="none"/>
        </w:rPr>
        <w:t>表1综合评分表</w:t>
      </w:r>
    </w:p>
    <w:p>
      <w:pPr>
        <w:rPr>
          <w:color w:val="auto"/>
          <w:highlight w:val="none"/>
        </w:rPr>
      </w:pPr>
    </w:p>
    <w:p>
      <w:pPr>
        <w:rPr>
          <w:color w:val="auto"/>
          <w:highlight w:val="none"/>
        </w:rPr>
      </w:pPr>
    </w:p>
    <w:tbl>
      <w:tblPr>
        <w:tblStyle w:val="23"/>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auto"/>
                <w:kern w:val="0"/>
                <w:sz w:val="22"/>
                <w:szCs w:val="22"/>
                <w:highlight w:val="none"/>
              </w:rPr>
            </w:pPr>
            <w:r>
              <w:rPr>
                <w:b/>
                <w:bCs/>
                <w:color w:val="auto"/>
                <w:kern w:val="0"/>
                <w:sz w:val="22"/>
                <w:szCs w:val="22"/>
                <w:highlight w:val="none"/>
              </w:rPr>
              <w:t>一级指标</w:t>
            </w:r>
          </w:p>
        </w:tc>
        <w:tc>
          <w:tcPr>
            <w:tcW w:w="990" w:type="dxa"/>
            <w:shd w:val="clear" w:color="auto" w:fill="BFBFB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分值</w:t>
            </w:r>
          </w:p>
        </w:tc>
        <w:tc>
          <w:tcPr>
            <w:tcW w:w="1283" w:type="dxa"/>
            <w:shd w:val="clear" w:color="auto" w:fill="BFBFB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1707" w:type="dxa"/>
            <w:shd w:val="clear" w:color="auto" w:fill="BFBFB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727" w:type="dxa"/>
            <w:shd w:val="clear" w:color="auto" w:fill="BFBFB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1044" w:type="dxa"/>
            <w:shd w:val="clear" w:color="auto" w:fill="BFBFBF"/>
            <w:vAlign w:val="center"/>
          </w:tcPr>
          <w:p>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目标值</w:t>
            </w:r>
          </w:p>
        </w:tc>
        <w:tc>
          <w:tcPr>
            <w:tcW w:w="924" w:type="dxa"/>
            <w:shd w:val="clear" w:color="auto" w:fill="BFBFBF"/>
            <w:vAlign w:val="center"/>
          </w:tcPr>
          <w:p>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业绩值</w:t>
            </w:r>
          </w:p>
        </w:tc>
        <w:tc>
          <w:tcPr>
            <w:tcW w:w="1215" w:type="dxa"/>
            <w:shd w:val="clear" w:color="auto" w:fill="BFBFBF"/>
            <w:vAlign w:val="center"/>
          </w:tcPr>
          <w:p>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得分率</w:t>
            </w:r>
          </w:p>
        </w:tc>
        <w:tc>
          <w:tcPr>
            <w:tcW w:w="960" w:type="dxa"/>
            <w:shd w:val="clear" w:color="auto" w:fill="BFBFBF"/>
            <w:vAlign w:val="center"/>
          </w:tcPr>
          <w:p>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决策　</w:t>
            </w:r>
          </w:p>
          <w:p>
            <w:pPr>
              <w:widowControl/>
              <w:spacing w:line="0" w:lineRule="atLeast"/>
              <w:jc w:val="center"/>
              <w:rPr>
                <w:color w:val="auto"/>
                <w:kern w:val="0"/>
                <w:sz w:val="22"/>
                <w:szCs w:val="22"/>
                <w:highlight w:val="none"/>
              </w:rPr>
            </w:pPr>
            <w:r>
              <w:rPr>
                <w:color w:val="auto"/>
                <w:kern w:val="0"/>
                <w:sz w:val="22"/>
                <w:szCs w:val="22"/>
                <w:highlight w:val="none"/>
              </w:rPr>
              <w:t>　</w:t>
            </w:r>
          </w:p>
          <w:p>
            <w:pPr>
              <w:spacing w:line="0" w:lineRule="atLeast"/>
              <w:jc w:val="center"/>
              <w:rPr>
                <w:color w:val="auto"/>
                <w:kern w:val="0"/>
                <w:sz w:val="22"/>
                <w:szCs w:val="22"/>
                <w:highlight w:val="none"/>
              </w:rPr>
            </w:pPr>
            <w:r>
              <w:rPr>
                <w:color w:val="auto"/>
                <w:kern w:val="0"/>
                <w:sz w:val="22"/>
                <w:szCs w:val="22"/>
                <w:highlight w:val="none"/>
              </w:rPr>
              <w:t>　</w:t>
            </w:r>
          </w:p>
          <w:p>
            <w:pPr>
              <w:widowControl/>
              <w:spacing w:line="0" w:lineRule="atLeast"/>
              <w:jc w:val="center"/>
              <w:rPr>
                <w:color w:val="auto"/>
                <w:kern w:val="0"/>
                <w:sz w:val="22"/>
                <w:szCs w:val="22"/>
                <w:highlight w:val="none"/>
              </w:rPr>
            </w:pPr>
            <w:r>
              <w:rPr>
                <w:color w:val="auto"/>
                <w:kern w:val="0"/>
                <w:sz w:val="22"/>
                <w:szCs w:val="22"/>
                <w:highlight w:val="none"/>
              </w:rPr>
              <w:t>　</w:t>
            </w:r>
          </w:p>
        </w:tc>
        <w:tc>
          <w:tcPr>
            <w:tcW w:w="990" w:type="dxa"/>
            <w:vMerge w:val="restart"/>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20</w:t>
            </w:r>
            <w:r>
              <w:rPr>
                <w:color w:val="auto"/>
                <w:kern w:val="0"/>
                <w:sz w:val="22"/>
                <w:szCs w:val="22"/>
                <w:highlight w:val="none"/>
              </w:rPr>
              <w:t>分</w:t>
            </w:r>
          </w:p>
        </w:tc>
        <w:tc>
          <w:tcPr>
            <w:tcW w:w="1283"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立项依据</w:t>
            </w:r>
          </w:p>
          <w:p>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727"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3</w:t>
            </w:r>
          </w:p>
        </w:tc>
        <w:tc>
          <w:tcPr>
            <w:tcW w:w="104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充分</w:t>
            </w:r>
          </w:p>
        </w:tc>
        <w:tc>
          <w:tcPr>
            <w:tcW w:w="92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充分</w:t>
            </w:r>
          </w:p>
        </w:tc>
        <w:tc>
          <w:tcPr>
            <w:tcW w:w="1215"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color w:val="auto"/>
                <w:kern w:val="0"/>
                <w:sz w:val="22"/>
                <w:szCs w:val="22"/>
                <w:highlight w:val="none"/>
              </w:rPr>
            </w:pP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立项程序</w:t>
            </w:r>
          </w:p>
          <w:p>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727"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3</w:t>
            </w:r>
          </w:p>
        </w:tc>
        <w:tc>
          <w:tcPr>
            <w:tcW w:w="104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规范</w:t>
            </w:r>
          </w:p>
        </w:tc>
        <w:tc>
          <w:tcPr>
            <w:tcW w:w="92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规范</w:t>
            </w:r>
          </w:p>
        </w:tc>
        <w:tc>
          <w:tcPr>
            <w:tcW w:w="1215"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合理</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合理</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default"/>
                <w:color w:val="auto"/>
                <w:kern w:val="0"/>
                <w:sz w:val="22"/>
                <w:szCs w:val="22"/>
                <w:highlight w:val="none"/>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auto"/>
                <w:kern w:val="0"/>
                <w:sz w:val="22"/>
                <w:szCs w:val="22"/>
                <w:highlight w:val="none"/>
                <w:lang w:eastAsia="zh-CN"/>
              </w:rPr>
            </w:pPr>
            <w:r>
              <w:rPr>
                <w:rFonts w:hint="default"/>
                <w:color w:val="auto"/>
                <w:kern w:val="0"/>
                <w:sz w:val="22"/>
                <w:szCs w:val="22"/>
                <w:highlight w:val="none"/>
                <w:lang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color w:val="auto"/>
                <w:kern w:val="0"/>
                <w:sz w:val="22"/>
                <w:szCs w:val="22"/>
                <w:highlight w:val="none"/>
              </w:rPr>
            </w:pP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绩效指标</w:t>
            </w:r>
          </w:p>
          <w:p>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3</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明确</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明确</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spacing w:line="0" w:lineRule="atLeast"/>
              <w:jc w:val="center"/>
              <w:rPr>
                <w:color w:val="auto"/>
                <w:kern w:val="0"/>
                <w:sz w:val="22"/>
                <w:szCs w:val="22"/>
                <w:highlight w:val="none"/>
              </w:rPr>
            </w:pPr>
          </w:p>
        </w:tc>
        <w:tc>
          <w:tcPr>
            <w:tcW w:w="1283"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资金投入</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预算编制</w:t>
            </w:r>
          </w:p>
          <w:p>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727"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科学</w:t>
            </w:r>
          </w:p>
        </w:tc>
        <w:tc>
          <w:tcPr>
            <w:tcW w:w="92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科学</w:t>
            </w:r>
          </w:p>
        </w:tc>
        <w:tc>
          <w:tcPr>
            <w:tcW w:w="1215"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color w:val="auto"/>
                <w:kern w:val="0"/>
                <w:sz w:val="22"/>
                <w:szCs w:val="22"/>
                <w:highlight w:val="none"/>
              </w:rPr>
            </w:pP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资金分配</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727"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3</w:t>
            </w:r>
          </w:p>
        </w:tc>
        <w:tc>
          <w:tcPr>
            <w:tcW w:w="104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合理</w:t>
            </w:r>
          </w:p>
        </w:tc>
        <w:tc>
          <w:tcPr>
            <w:tcW w:w="92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合理</w:t>
            </w:r>
          </w:p>
        </w:tc>
        <w:tc>
          <w:tcPr>
            <w:tcW w:w="1215"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过程</w:t>
            </w:r>
          </w:p>
          <w:p>
            <w:pPr>
              <w:spacing w:line="0" w:lineRule="atLeast"/>
              <w:jc w:val="center"/>
              <w:rPr>
                <w:color w:val="auto"/>
                <w:kern w:val="0"/>
                <w:sz w:val="22"/>
                <w:szCs w:val="22"/>
                <w:highlight w:val="none"/>
              </w:rPr>
            </w:pPr>
            <w:r>
              <w:rPr>
                <w:color w:val="auto"/>
                <w:kern w:val="0"/>
                <w:sz w:val="22"/>
                <w:szCs w:val="22"/>
                <w:highlight w:val="none"/>
              </w:rPr>
              <w:t>　</w:t>
            </w:r>
          </w:p>
        </w:tc>
        <w:tc>
          <w:tcPr>
            <w:tcW w:w="990" w:type="dxa"/>
            <w:vMerge w:val="restart"/>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20</w:t>
            </w:r>
            <w:r>
              <w:rPr>
                <w:color w:val="auto"/>
                <w:kern w:val="0"/>
                <w:sz w:val="22"/>
                <w:szCs w:val="22"/>
                <w:highlight w:val="none"/>
              </w:rPr>
              <w:t>分</w:t>
            </w:r>
          </w:p>
        </w:tc>
        <w:tc>
          <w:tcPr>
            <w:tcW w:w="1283"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924"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spacing w:line="0" w:lineRule="atLeast"/>
              <w:jc w:val="center"/>
              <w:rPr>
                <w:color w:val="auto"/>
                <w:kern w:val="0"/>
                <w:sz w:val="22"/>
                <w:szCs w:val="22"/>
                <w:highlight w:val="none"/>
              </w:rPr>
            </w:pPr>
          </w:p>
        </w:tc>
        <w:tc>
          <w:tcPr>
            <w:tcW w:w="1283" w:type="dxa"/>
            <w:vMerge w:val="continue"/>
            <w:shd w:val="clear" w:color="auto" w:fill="FFFFFF"/>
            <w:vAlign w:val="center"/>
          </w:tcPr>
          <w:p>
            <w:pPr>
              <w:spacing w:line="0" w:lineRule="atLeast"/>
              <w:jc w:val="center"/>
              <w:rPr>
                <w:color w:val="auto"/>
                <w:kern w:val="0"/>
                <w:sz w:val="22"/>
                <w:szCs w:val="22"/>
                <w:highlight w:val="none"/>
              </w:rPr>
            </w:pP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727"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924"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1215"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资金使用</w:t>
            </w:r>
          </w:p>
          <w:p>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合格</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合格</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spacing w:line="0" w:lineRule="atLeast"/>
              <w:jc w:val="center"/>
              <w:rPr>
                <w:color w:val="auto"/>
                <w:kern w:val="0"/>
                <w:sz w:val="22"/>
                <w:szCs w:val="22"/>
                <w:highlight w:val="none"/>
              </w:rPr>
            </w:pPr>
          </w:p>
        </w:tc>
        <w:tc>
          <w:tcPr>
            <w:tcW w:w="1283"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组织实施</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管理制度</w:t>
            </w:r>
          </w:p>
          <w:p>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健全</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健全</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color w:val="auto"/>
                <w:kern w:val="0"/>
                <w:sz w:val="22"/>
                <w:szCs w:val="22"/>
                <w:highlight w:val="none"/>
              </w:rPr>
            </w:pP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制度执行</w:t>
            </w:r>
          </w:p>
          <w:p>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有效</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有效</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w:t>
            </w:r>
          </w:p>
        </w:tc>
        <w:tc>
          <w:tcPr>
            <w:tcW w:w="990" w:type="dxa"/>
            <w:vMerge w:val="restart"/>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40</w:t>
            </w:r>
            <w:r>
              <w:rPr>
                <w:color w:val="auto"/>
                <w:kern w:val="0"/>
                <w:sz w:val="22"/>
                <w:szCs w:val="22"/>
                <w:highlight w:val="none"/>
              </w:rPr>
              <w:t>分</w:t>
            </w:r>
          </w:p>
        </w:tc>
        <w:tc>
          <w:tcPr>
            <w:tcW w:w="128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727"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w:t>
            </w:r>
            <w:r>
              <w:rPr>
                <w:rFonts w:hint="eastAsia"/>
                <w:color w:val="auto"/>
                <w:kern w:val="0"/>
                <w:sz w:val="22"/>
                <w:szCs w:val="22"/>
                <w:highlight w:val="none"/>
              </w:rPr>
              <w:t>0</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924"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727"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924"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spacing w:line="0" w:lineRule="atLeast"/>
              <w:jc w:val="center"/>
              <w:rPr>
                <w:color w:val="auto"/>
                <w:kern w:val="0"/>
                <w:sz w:val="22"/>
                <w:szCs w:val="22"/>
                <w:highlight w:val="none"/>
              </w:rPr>
            </w:pPr>
          </w:p>
        </w:tc>
        <w:tc>
          <w:tcPr>
            <w:tcW w:w="1283" w:type="dxa"/>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产出时效</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727"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w:t>
            </w:r>
            <w:r>
              <w:rPr>
                <w:rFonts w:hint="eastAsia"/>
                <w:color w:val="auto"/>
                <w:kern w:val="0"/>
                <w:sz w:val="22"/>
                <w:szCs w:val="22"/>
                <w:highlight w:val="none"/>
              </w:rPr>
              <w:t>0</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及时</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及时</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default"/>
                <w:color w:val="auto"/>
                <w:kern w:val="0"/>
                <w:sz w:val="22"/>
                <w:szCs w:val="22"/>
                <w:highlight w:val="none"/>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auto"/>
                <w:kern w:val="0"/>
                <w:sz w:val="22"/>
                <w:szCs w:val="22"/>
                <w:highlight w:val="none"/>
                <w:lang w:eastAsia="zh-CN"/>
              </w:rPr>
            </w:pPr>
            <w:r>
              <w:rPr>
                <w:rFonts w:hint="default"/>
                <w:color w:val="auto"/>
                <w:kern w:val="0"/>
                <w:sz w:val="22"/>
                <w:szCs w:val="22"/>
                <w:highlight w:val="none"/>
                <w:lang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727"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924"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效益　</w:t>
            </w:r>
          </w:p>
        </w:tc>
        <w:tc>
          <w:tcPr>
            <w:tcW w:w="990" w:type="dxa"/>
            <w:vMerge w:val="restart"/>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20</w:t>
            </w:r>
            <w:r>
              <w:rPr>
                <w:color w:val="auto"/>
                <w:kern w:val="0"/>
                <w:sz w:val="22"/>
                <w:szCs w:val="22"/>
                <w:highlight w:val="none"/>
              </w:rPr>
              <w:t>分</w:t>
            </w:r>
          </w:p>
        </w:tc>
        <w:tc>
          <w:tcPr>
            <w:tcW w:w="1283"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实施效益</w:t>
            </w:r>
          </w:p>
          <w:p>
            <w:pPr>
              <w:widowControl/>
              <w:spacing w:line="0" w:lineRule="atLeast"/>
              <w:jc w:val="center"/>
              <w:rPr>
                <w:color w:val="auto"/>
                <w:kern w:val="0"/>
                <w:sz w:val="22"/>
                <w:szCs w:val="22"/>
                <w:highlight w:val="none"/>
              </w:rPr>
            </w:pPr>
            <w:r>
              <w:rPr>
                <w:color w:val="auto"/>
                <w:kern w:val="0"/>
                <w:sz w:val="22"/>
                <w:szCs w:val="22"/>
                <w:highlight w:val="none"/>
              </w:rPr>
              <w:t>（社会效益、经济效益、可持续效益）</w:t>
            </w:r>
          </w:p>
        </w:tc>
        <w:tc>
          <w:tcPr>
            <w:tcW w:w="727"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15</w:t>
            </w:r>
          </w:p>
        </w:tc>
        <w:tc>
          <w:tcPr>
            <w:tcW w:w="104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有效</w:t>
            </w:r>
          </w:p>
        </w:tc>
        <w:tc>
          <w:tcPr>
            <w:tcW w:w="92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有效</w:t>
            </w:r>
          </w:p>
        </w:tc>
        <w:tc>
          <w:tcPr>
            <w:tcW w:w="1215"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auto" w:fill="FFFFFF"/>
            <w:vAlign w:val="center"/>
          </w:tcPr>
          <w:p>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color w:val="auto"/>
                <w:kern w:val="0"/>
                <w:sz w:val="22"/>
                <w:szCs w:val="22"/>
                <w:highlight w:val="none"/>
              </w:rPr>
            </w:pP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5</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w:t>
            </w:r>
            <w:r>
              <w:rPr>
                <w:rFonts w:hint="eastAsia"/>
                <w:color w:val="auto"/>
                <w:kern w:val="0"/>
                <w:sz w:val="22"/>
                <w:szCs w:val="22"/>
                <w:highlight w:val="none"/>
                <w:lang w:val="en-US" w:eastAsia="zh-CN"/>
              </w:rPr>
              <w:t>90</w:t>
            </w:r>
            <w:r>
              <w:rPr>
                <w:color w:val="auto"/>
                <w:kern w:val="0"/>
                <w:sz w:val="22"/>
                <w:szCs w:val="22"/>
                <w:highlight w:val="none"/>
              </w:rPr>
              <w:t>%</w:t>
            </w:r>
          </w:p>
        </w:tc>
        <w:tc>
          <w:tcPr>
            <w:tcW w:w="924"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90</w:t>
            </w:r>
            <w:r>
              <w:rPr>
                <w:color w:val="auto"/>
                <w:kern w:val="0"/>
                <w:sz w:val="22"/>
                <w:szCs w:val="22"/>
                <w:highlight w:val="none"/>
              </w:rPr>
              <w:t>%</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5</w:t>
            </w:r>
          </w:p>
        </w:tc>
      </w:tr>
    </w:tbl>
    <w:p>
      <w:pPr>
        <w:spacing w:line="600" w:lineRule="exact"/>
        <w:ind w:firstLine="320" w:firstLineChars="100"/>
        <w:rPr>
          <w:rFonts w:eastAsia="黑体"/>
          <w:color w:val="auto"/>
          <w:sz w:val="32"/>
          <w:szCs w:val="32"/>
          <w:highlight w:val="none"/>
        </w:rPr>
      </w:pPr>
      <w:r>
        <w:rPr>
          <w:rFonts w:eastAsia="黑体"/>
          <w:color w:val="auto"/>
          <w:sz w:val="32"/>
          <w:szCs w:val="32"/>
          <w:highlight w:val="none"/>
        </w:rPr>
        <w:t>四、绩效评价指标分析</w:t>
      </w:r>
    </w:p>
    <w:p>
      <w:pPr>
        <w:pStyle w:val="20"/>
        <w:ind w:firstLine="321" w:firstLineChars="100"/>
        <w:jc w:val="both"/>
        <w:rPr>
          <w:rFonts w:ascii="Times New Roman" w:hAnsi="Times New Roman" w:eastAsia="楷体_GB2312"/>
          <w:color w:val="auto"/>
          <w:highlight w:val="none"/>
        </w:rPr>
      </w:pPr>
      <w:r>
        <w:rPr>
          <w:rFonts w:ascii="Times New Roman" w:hAnsi="Times New Roman" w:eastAsia="楷体_GB2312"/>
          <w:color w:val="auto"/>
          <w:highlight w:val="none"/>
        </w:rPr>
        <w:t>（一）项目决策情况</w:t>
      </w:r>
    </w:p>
    <w:p>
      <w:pPr>
        <w:spacing w:line="600" w:lineRule="exact"/>
        <w:ind w:firstLine="640" w:firstLineChars="200"/>
        <w:outlineLvl w:val="0"/>
        <w:rPr>
          <w:color w:val="auto"/>
          <w:highlight w:val="none"/>
        </w:rPr>
      </w:pPr>
      <w:r>
        <w:rPr>
          <w:rFonts w:hint="eastAsia" w:ascii="仿宋_GB2312" w:hAnsi="仿宋_GB2312" w:eastAsia="仿宋_GB2312" w:cs="仿宋_GB2312"/>
          <w:color w:val="auto"/>
          <w:sz w:val="32"/>
          <w:szCs w:val="32"/>
          <w:highlight w:val="none"/>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20"/>
        <w:ind w:firstLine="321" w:firstLineChars="100"/>
        <w:jc w:val="both"/>
        <w:rPr>
          <w:rFonts w:ascii="Times New Roman" w:hAnsi="Times New Roman" w:eastAsia="楷体_GB2312"/>
          <w:color w:val="auto"/>
          <w:highlight w:val="none"/>
        </w:rPr>
      </w:pPr>
      <w:r>
        <w:rPr>
          <w:rFonts w:hint="eastAsia" w:ascii="Times New Roman" w:hAnsi="Times New Roman" w:eastAsia="楷体_GB2312"/>
          <w:color w:val="auto"/>
          <w:highlight w:val="none"/>
        </w:rPr>
        <w:t>（二）</w:t>
      </w:r>
      <w:r>
        <w:rPr>
          <w:rFonts w:ascii="Times New Roman" w:hAnsi="Times New Roman" w:eastAsia="楷体_GB2312"/>
          <w:color w:val="auto"/>
          <w:highlight w:val="none"/>
        </w:rPr>
        <w:t>项目过程情况</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项目严格按照预期绩效目标执行预算资金。项目资金使用符合相关的财务管理制度规定，能够反映和考核项目资金的规范运行情况；</w:t>
      </w:r>
      <w:bookmarkStart w:id="2" w:name="OLE_LINK2"/>
      <w:r>
        <w:rPr>
          <w:rFonts w:hint="eastAsia" w:ascii="仿宋_GB2312" w:hAnsi="仿宋_GB2312" w:eastAsia="仿宋_GB2312" w:cs="仿宋_GB2312"/>
          <w:color w:val="auto"/>
          <w:sz w:val="32"/>
          <w:szCs w:val="32"/>
          <w:highlight w:val="none"/>
        </w:rPr>
        <w:t>项目实施单位的财务和业务管理制度健全，能够反映和考核财务和业务管理制度对项目顺利实施的保障情况。</w:t>
      </w:r>
      <w:bookmarkEnd w:id="2"/>
    </w:p>
    <w:p>
      <w:pPr>
        <w:pStyle w:val="20"/>
        <w:ind w:firstLine="321" w:firstLineChars="100"/>
        <w:jc w:val="both"/>
        <w:rPr>
          <w:rFonts w:ascii="Times New Roman" w:hAnsi="Times New Roman" w:eastAsia="楷体_GB2312"/>
          <w:color w:val="auto"/>
          <w:highlight w:val="none"/>
        </w:rPr>
      </w:pPr>
      <w:r>
        <w:rPr>
          <w:rFonts w:hint="eastAsia" w:ascii="Times New Roman" w:hAnsi="Times New Roman" w:eastAsia="楷体_GB2312"/>
          <w:color w:val="auto"/>
          <w:highlight w:val="none"/>
        </w:rPr>
        <w:t>（三）</w:t>
      </w:r>
      <w:r>
        <w:rPr>
          <w:rFonts w:ascii="Times New Roman" w:hAnsi="Times New Roman" w:eastAsia="楷体_GB2312"/>
          <w:color w:val="auto"/>
          <w:highlight w:val="none"/>
        </w:rPr>
        <w:t>项目产出</w:t>
      </w:r>
    </w:p>
    <w:p>
      <w:pPr>
        <w:pStyle w:val="20"/>
        <w:numPr>
          <w:ilvl w:val="0"/>
          <w:numId w:val="0"/>
        </w:numPr>
        <w:ind w:firstLine="642" w:firstLineChars="200"/>
        <w:jc w:val="left"/>
        <w:rPr>
          <w:rFonts w:hint="eastAsia" w:ascii="Times New Roman" w:hAnsi="Times New Roman" w:eastAsia="楷体_GB2312"/>
          <w:color w:val="auto"/>
          <w:highlight w:val="none"/>
          <w:lang w:eastAsia="zh-CN"/>
        </w:rPr>
      </w:pPr>
      <w:r>
        <w:rPr>
          <w:rFonts w:hint="eastAsia" w:ascii="Times New Roman" w:hAnsi="Times New Roman" w:eastAsia="楷体_GB2312"/>
          <w:color w:val="auto"/>
          <w:highlight w:val="none"/>
          <w:lang w:eastAsia="zh-CN"/>
        </w:rPr>
        <w:t>（</w:t>
      </w:r>
      <w:r>
        <w:rPr>
          <w:rFonts w:hint="eastAsia" w:ascii="Times New Roman" w:hAnsi="Times New Roman" w:eastAsia="楷体_GB2312"/>
          <w:color w:val="auto"/>
          <w:highlight w:val="none"/>
          <w:lang w:val="en-US" w:eastAsia="zh-CN"/>
        </w:rPr>
        <w:t>1</w:t>
      </w:r>
      <w:r>
        <w:rPr>
          <w:rFonts w:hint="eastAsia" w:ascii="Times New Roman" w:hAnsi="Times New Roman" w:eastAsia="楷体_GB2312"/>
          <w:color w:val="auto"/>
          <w:highlight w:val="none"/>
          <w:lang w:eastAsia="zh-CN"/>
        </w:rPr>
        <w:t>）数量指标方面：</w:t>
      </w:r>
    </w:p>
    <w:p>
      <w:pPr>
        <w:pStyle w:val="20"/>
        <w:numPr>
          <w:ilvl w:val="0"/>
          <w:numId w:val="7"/>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重大动物疫病疫苗免疫效果监测评估全覆盖数量指标，指标值为14个地州，实际完成14个地州，完成率100%，偏差率0%。</w:t>
      </w:r>
    </w:p>
    <w:p>
      <w:pPr>
        <w:pStyle w:val="20"/>
        <w:numPr>
          <w:ilvl w:val="0"/>
          <w:numId w:val="7"/>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畜禽屠宰场检查覆盖数量数量指标，指标值为14个地州，实际完成14个地州，完成率100%，偏差率0%。</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c.动物疫病监测采样数量指标，指标值为3.55万份，实际完成3.7524万份，完成率105.7%，偏差率5.7%，偏差原因是上报预算时，国家任务数未下达，根据上一年的任务数制定，国家下达任务数每年都有变化。</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d.全疆兽医实验室能力比对县市覆盖数量指标，指标值为&gt;=85个，实际完成91个，完成率107.05%，偏差率7.05%，偏差原因有新增验收通过的实验室。</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e.培训次数数量指标，指标值为&gt;=4次，实际完成5次，完成率125%，偏差率25%，偏差原因新增了一期动物疫病诊断技术培训。</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f.培训人次数量指标，指标值为&gt;=80人次，实际完成113人次，完成率141.25%，偏差率41.25%，偏差原因1、后期培训人员做了部分调整，2、新增了一期动物疫病诊断技术培训。</w:t>
      </w:r>
    </w:p>
    <w:p>
      <w:pPr>
        <w:ind w:firstLine="420" w:firstLineChars="200"/>
        <w:rPr>
          <w:rFonts w:hint="default"/>
          <w:color w:val="auto"/>
          <w:lang w:val="en-US" w:eastAsia="zh-CN"/>
        </w:rPr>
      </w:pPr>
    </w:p>
    <w:p>
      <w:pPr>
        <w:ind w:firstLine="640" w:firstLineChars="200"/>
        <w:rPr>
          <w:rFonts w:hint="eastAsia"/>
          <w:color w:val="auto"/>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G.服务执业兽医资格考试科次指标，指标值为&gt;=10000科次，实际完成12527科次，完成率125.27%，偏差率25.27%。原因1、考试人数每年浮动较大，报考人数只能在报名结束后才能确定；2、执业兽医考试的特殊性，考生每年可报考单科，单科考试成绩合格后，3年内有效。3、文件规定3个连续年度内全部科目成绩合格的，视为考试通过，也是导致报考人数增多的原因。</w:t>
      </w:r>
    </w:p>
    <w:p>
      <w:pPr>
        <w:pStyle w:val="20"/>
        <w:numPr>
          <w:ilvl w:val="0"/>
          <w:numId w:val="0"/>
        </w:numPr>
        <w:ind w:firstLine="642" w:firstLineChars="200"/>
        <w:jc w:val="left"/>
        <w:rPr>
          <w:rFonts w:hint="eastAsia" w:ascii="Times New Roman" w:hAnsi="Times New Roman" w:eastAsia="楷体_GB2312"/>
          <w:color w:val="auto"/>
          <w:highlight w:val="none"/>
          <w:lang w:eastAsia="zh-CN"/>
        </w:rPr>
      </w:pPr>
      <w:r>
        <w:rPr>
          <w:rFonts w:hint="eastAsia" w:ascii="Times New Roman" w:hAnsi="Times New Roman" w:eastAsia="楷体_GB2312"/>
          <w:color w:val="auto"/>
          <w:highlight w:val="none"/>
          <w:lang w:eastAsia="zh-CN"/>
        </w:rPr>
        <w:t>（</w:t>
      </w:r>
      <w:r>
        <w:rPr>
          <w:rFonts w:hint="eastAsia" w:ascii="Times New Roman" w:hAnsi="Times New Roman" w:eastAsia="楷体_GB2312"/>
          <w:color w:val="auto"/>
          <w:highlight w:val="none"/>
          <w:lang w:val="en-US" w:eastAsia="zh-CN"/>
        </w:rPr>
        <w:t>2</w:t>
      </w:r>
      <w:r>
        <w:rPr>
          <w:rFonts w:hint="eastAsia" w:ascii="Times New Roman" w:hAnsi="Times New Roman" w:eastAsia="楷体_GB2312"/>
          <w:color w:val="auto"/>
          <w:highlight w:val="none"/>
          <w:lang w:eastAsia="zh-CN"/>
        </w:rPr>
        <w:t>）质量指标方面：</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a.主要动物疫病样品采集合格率质量指标，指标值为100%，实际完成100%，完成率100%，偏差率0%。</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b.试剂、耗材、应急物资采购任务完成完成率质量指标，指标值为100%，实际完成100%，完成率100%，偏差率0%。</w:t>
      </w:r>
    </w:p>
    <w:p>
      <w:pPr>
        <w:pStyle w:val="20"/>
        <w:numPr>
          <w:ilvl w:val="0"/>
          <w:numId w:val="0"/>
        </w:numPr>
        <w:ind w:firstLine="642" w:firstLineChars="200"/>
        <w:jc w:val="left"/>
        <w:rPr>
          <w:rFonts w:hint="eastAsia" w:ascii="Times New Roman" w:hAnsi="Times New Roman" w:eastAsia="楷体_GB2312"/>
          <w:color w:val="auto"/>
          <w:highlight w:val="none"/>
          <w:lang w:eastAsia="zh-CN"/>
        </w:rPr>
      </w:pPr>
      <w:r>
        <w:rPr>
          <w:rFonts w:hint="eastAsia" w:ascii="Times New Roman" w:hAnsi="Times New Roman" w:eastAsia="楷体_GB2312"/>
          <w:color w:val="auto"/>
          <w:highlight w:val="none"/>
          <w:lang w:eastAsia="zh-CN"/>
        </w:rPr>
        <w:t>（</w:t>
      </w:r>
      <w:r>
        <w:rPr>
          <w:rFonts w:hint="eastAsia" w:ascii="Times New Roman" w:hAnsi="Times New Roman" w:eastAsia="楷体_GB2312"/>
          <w:color w:val="auto"/>
          <w:highlight w:val="none"/>
          <w:lang w:val="en-US" w:eastAsia="zh-CN"/>
        </w:rPr>
        <w:t>3</w:t>
      </w:r>
      <w:r>
        <w:rPr>
          <w:rFonts w:hint="eastAsia" w:ascii="Times New Roman" w:hAnsi="Times New Roman" w:eastAsia="楷体_GB2312"/>
          <w:color w:val="auto"/>
          <w:highlight w:val="none"/>
          <w:lang w:eastAsia="zh-CN"/>
        </w:rPr>
        <w:t>）成本指标方面：</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a.动物疫病采样监测成本指标，指标值为&lt;=498万元，实际完成498万元，完成率100%，偏差率0%。</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b.执业兽医资格考试成本指标，指标值为&lt;=72万元，实际完成72万元，完成率100%，偏差率0%。</w:t>
      </w:r>
    </w:p>
    <w:p>
      <w:pPr>
        <w:pStyle w:val="20"/>
        <w:numPr>
          <w:ilvl w:val="0"/>
          <w:numId w:val="0"/>
        </w:numPr>
        <w:ind w:firstLine="642" w:firstLineChars="200"/>
        <w:jc w:val="left"/>
        <w:rPr>
          <w:rFonts w:hint="eastAsia" w:ascii="Times New Roman" w:hAnsi="Times New Roman" w:eastAsia="楷体_GB2312"/>
          <w:color w:val="auto"/>
          <w:highlight w:val="none"/>
        </w:rPr>
      </w:pPr>
      <w:r>
        <w:rPr>
          <w:rFonts w:hint="eastAsia" w:ascii="Times New Roman" w:hAnsi="Times New Roman" w:eastAsia="楷体_GB2312"/>
          <w:color w:val="auto"/>
          <w:highlight w:val="none"/>
          <w:lang w:eastAsia="zh-CN"/>
        </w:rPr>
        <w:t>（</w:t>
      </w:r>
      <w:r>
        <w:rPr>
          <w:rFonts w:hint="eastAsia" w:ascii="Times New Roman" w:hAnsi="Times New Roman" w:eastAsia="楷体_GB2312"/>
          <w:color w:val="auto"/>
          <w:highlight w:val="none"/>
          <w:lang w:val="en-US" w:eastAsia="zh-CN"/>
        </w:rPr>
        <w:t>4</w:t>
      </w:r>
      <w:r>
        <w:rPr>
          <w:rFonts w:hint="eastAsia" w:ascii="Times New Roman" w:hAnsi="Times New Roman" w:eastAsia="楷体_GB2312"/>
          <w:color w:val="auto"/>
          <w:highlight w:val="none"/>
          <w:lang w:eastAsia="zh-CN"/>
        </w:rPr>
        <w:t>）</w:t>
      </w:r>
      <w:r>
        <w:rPr>
          <w:rFonts w:hint="eastAsia" w:ascii="Times New Roman" w:hAnsi="Times New Roman" w:eastAsia="楷体_GB2312"/>
          <w:color w:val="auto"/>
          <w:highlight w:val="none"/>
        </w:rPr>
        <w:t>时效指标方面：</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a.动物疫病采样监测按期计划完成率时效指标，指标值为100%，实际完成按期完成，完成率100%，偏差率0%。</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b.培训班按期完成率时效指标，指标值为100%，实际完成按期完成，完成率100%，偏差率0%。</w:t>
      </w:r>
    </w:p>
    <w:p>
      <w:pPr>
        <w:pStyle w:val="20"/>
        <w:numPr>
          <w:ilvl w:val="0"/>
          <w:numId w:val="0"/>
        </w:numPr>
        <w:ind w:firstLine="640" w:firstLineChars="200"/>
        <w:jc w:val="left"/>
        <w:rPr>
          <w:rFonts w:hint="default" w:ascii="Times New Roman" w:hAnsi="Times New Roman"/>
          <w:color w:val="auto"/>
          <w:highlight w:val="none"/>
          <w:lang w:val="en-US"/>
        </w:rPr>
      </w:pPr>
      <w:r>
        <w:rPr>
          <w:rFonts w:hint="eastAsia" w:ascii="仿宋_GB2312" w:hAnsi="仿宋_GB2312" w:eastAsia="仿宋_GB2312" w:cs="仿宋_GB2312"/>
          <w:b w:val="0"/>
          <w:bCs w:val="0"/>
          <w:color w:val="auto"/>
          <w:kern w:val="2"/>
          <w:sz w:val="32"/>
          <w:szCs w:val="32"/>
          <w:highlight w:val="none"/>
          <w:lang w:val="en-US" w:eastAsia="zh-CN" w:bidi="ar-SA"/>
        </w:rPr>
        <w:t>c.服务执业兽医资格考时效指标，指标值为100%，实际完成按期完成，完成率100%，偏差率0%。</w:t>
      </w:r>
    </w:p>
    <w:p>
      <w:pPr>
        <w:pStyle w:val="20"/>
        <w:numPr>
          <w:ilvl w:val="0"/>
          <w:numId w:val="0"/>
        </w:numPr>
        <w:ind w:firstLine="642" w:firstLineChars="200"/>
        <w:jc w:val="left"/>
        <w:rPr>
          <w:rStyle w:val="54"/>
          <w:rFonts w:ascii="Times New Roman" w:hAnsi="Times New Roman" w:cs="Times New Roman"/>
          <w:color w:val="auto"/>
          <w:highlight w:val="none"/>
        </w:rPr>
      </w:pPr>
      <w:r>
        <w:rPr>
          <w:rFonts w:hint="eastAsia" w:ascii="Times New Roman" w:hAnsi="Times New Roman" w:eastAsia="楷体_GB2312"/>
          <w:color w:val="auto"/>
          <w:highlight w:val="none"/>
        </w:rPr>
        <w:t>（</w:t>
      </w:r>
      <w:r>
        <w:rPr>
          <w:rFonts w:hint="eastAsia" w:ascii="Times New Roman" w:hAnsi="Times New Roman" w:eastAsia="楷体_GB2312"/>
          <w:color w:val="auto"/>
          <w:highlight w:val="none"/>
          <w:lang w:val="en-US" w:eastAsia="zh-CN"/>
        </w:rPr>
        <w:t>5</w:t>
      </w:r>
      <w:r>
        <w:rPr>
          <w:rFonts w:hint="eastAsia" w:ascii="Times New Roman" w:hAnsi="Times New Roman" w:eastAsia="楷体_GB2312"/>
          <w:color w:val="auto"/>
          <w:highlight w:val="none"/>
        </w:rPr>
        <w:t>）</w:t>
      </w:r>
      <w:r>
        <w:rPr>
          <w:rStyle w:val="54"/>
          <w:rFonts w:ascii="Times New Roman" w:hAnsi="Times New Roman" w:cs="Times New Roman"/>
          <w:color w:val="auto"/>
          <w:highlight w:val="none"/>
        </w:rPr>
        <w:t>满意度指标方面：</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a.地州动物疫病防控机构满意度指标，指标值≥90%，实际完成90%，完成率100%，偏差率0%。</w:t>
      </w:r>
    </w:p>
    <w:p>
      <w:pPr>
        <w:pStyle w:val="20"/>
        <w:numPr>
          <w:ilvl w:val="0"/>
          <w:numId w:val="0"/>
        </w:numPr>
        <w:jc w:val="left"/>
        <w:rPr>
          <w:rFonts w:ascii="Times New Roman" w:hAnsi="Times New Roman"/>
          <w:color w:val="auto"/>
          <w:highlight w:val="none"/>
        </w:rPr>
      </w:pPr>
      <w:r>
        <w:rPr>
          <w:rFonts w:hint="eastAsia"/>
          <w:color w:val="auto"/>
          <w:lang w:val="en-US" w:eastAsia="zh-CN"/>
        </w:rPr>
        <w:t xml:space="preserve">   </w:t>
      </w:r>
    </w:p>
    <w:p>
      <w:pPr>
        <w:spacing w:line="600" w:lineRule="exact"/>
        <w:ind w:firstLine="640" w:firstLineChars="200"/>
        <w:rPr>
          <w:rStyle w:val="54"/>
          <w:rFonts w:ascii="Times New Roman" w:hAnsi="Times New Roman" w:cs="Times New Roman"/>
          <w:color w:val="auto"/>
          <w:highlight w:val="none"/>
        </w:rPr>
      </w:pPr>
      <w:r>
        <w:rPr>
          <w:rFonts w:eastAsia="黑体"/>
          <w:color w:val="auto"/>
          <w:sz w:val="32"/>
          <w:szCs w:val="32"/>
          <w:highlight w:val="none"/>
        </w:rPr>
        <w:t>五、主要经验及做法、存在的问题及原因分析</w:t>
      </w:r>
    </w:p>
    <w:p>
      <w:pPr>
        <w:spacing w:line="600" w:lineRule="exact"/>
        <w:ind w:firstLine="626" w:firstLineChars="200"/>
        <w:rPr>
          <w:rFonts w:eastAsia="楷体"/>
          <w:b/>
          <w:color w:val="auto"/>
          <w:spacing w:val="-4"/>
          <w:sz w:val="32"/>
          <w:szCs w:val="32"/>
          <w:highlight w:val="none"/>
        </w:rPr>
      </w:pPr>
      <w:r>
        <w:rPr>
          <w:rFonts w:eastAsia="楷体"/>
          <w:b/>
          <w:color w:val="auto"/>
          <w:spacing w:val="-4"/>
          <w:sz w:val="32"/>
          <w:szCs w:val="32"/>
          <w:highlight w:val="none"/>
        </w:rPr>
        <w:t>（一）主要经验及做法</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0"/>
        <w:spacing w:before="0" w:after="0" w:line="600" w:lineRule="exact"/>
        <w:ind w:firstLine="640" w:firstLineChars="200"/>
        <w:jc w:val="both"/>
        <w:rPr>
          <w:rFonts w:ascii="Times New Roman" w:hAnsi="Times New Roman" w:eastAsia="仿宋_GB2312"/>
          <w:b w:val="0"/>
          <w:bCs w:val="0"/>
          <w:color w:val="auto"/>
          <w:kern w:val="2"/>
          <w:highlight w:val="none"/>
        </w:rPr>
      </w:pPr>
      <w:r>
        <w:rPr>
          <w:rFonts w:ascii="Times New Roman" w:hAnsi="Times New Roman" w:eastAsia="仿宋_GB2312"/>
          <w:b w:val="0"/>
          <w:bCs w:val="0"/>
          <w:color w:val="auto"/>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8"/>
        </w:numPr>
        <w:spacing w:line="600" w:lineRule="exact"/>
        <w:ind w:firstLine="642" w:firstLineChars="200"/>
        <w:rPr>
          <w:rFonts w:eastAsia="楷体_GB2312"/>
          <w:b/>
          <w:bCs/>
          <w:color w:val="auto"/>
          <w:sz w:val="32"/>
          <w:szCs w:val="32"/>
          <w:highlight w:val="none"/>
        </w:rPr>
      </w:pPr>
      <w:r>
        <w:rPr>
          <w:rFonts w:eastAsia="楷体_GB2312"/>
          <w:b/>
          <w:bCs/>
          <w:color w:val="auto"/>
          <w:sz w:val="32"/>
          <w:szCs w:val="32"/>
          <w:highlight w:val="none"/>
        </w:rPr>
        <w:t>存在的问题及原因分析</w:t>
      </w:r>
    </w:p>
    <w:p>
      <w:pPr>
        <w:pStyle w:val="19"/>
        <w:keepNext w:val="0"/>
        <w:keepLines w:val="0"/>
        <w:widowControl/>
        <w:numPr>
          <w:ilvl w:val="0"/>
          <w:numId w:val="0"/>
        </w:numPr>
        <w:suppressLineNumbers w:val="0"/>
        <w:ind w:right="0" w:rightChars="0" w:firstLine="640" w:firstLineChars="200"/>
        <w:rPr>
          <w:color w:val="auto"/>
          <w:highlight w:val="none"/>
        </w:rPr>
      </w:pPr>
      <w:r>
        <w:rPr>
          <w:rFonts w:hint="eastAsia" w:ascii="仿宋_GB2312" w:hAnsi="仿宋_GB2312" w:eastAsia="仿宋_GB2312" w:cs="仿宋_GB2312"/>
          <w:b w:val="0"/>
          <w:i w:val="0"/>
          <w:caps w:val="0"/>
          <w:color w:val="auto"/>
          <w:spacing w:val="0"/>
          <w:w w:val="100"/>
          <w:kern w:val="2"/>
          <w:sz w:val="32"/>
          <w:szCs w:val="32"/>
          <w:highlight w:val="none"/>
          <w:lang w:val="en-US" w:eastAsia="zh-CN" w:bidi="ar-SA"/>
        </w:rPr>
        <w:t>业务科室年初预算金额设置不精准，导致支出数小于预定计划数，影响预算执行效率。原因分析：年初项目立项时前期工作做的不充分，系统测算不精准，统筹不到位，</w:t>
      </w:r>
      <w:r>
        <w:rPr>
          <w:rFonts w:eastAsia="仿宋_GB2312"/>
          <w:color w:val="auto"/>
          <w:sz w:val="32"/>
          <w:szCs w:val="32"/>
          <w:highlight w:val="none"/>
        </w:rPr>
        <w:t>项目规划</w:t>
      </w:r>
      <w:r>
        <w:rPr>
          <w:rFonts w:hint="eastAsia" w:eastAsia="仿宋_GB2312"/>
          <w:color w:val="auto"/>
          <w:sz w:val="32"/>
          <w:szCs w:val="32"/>
          <w:highlight w:val="none"/>
          <w:lang w:eastAsia="zh-CN"/>
        </w:rPr>
        <w:t>不完善，考虑的不全面</w:t>
      </w:r>
      <w:r>
        <w:rPr>
          <w:rFonts w:hint="eastAsia" w:ascii="仿宋_GB2312" w:hAnsi="仿宋_GB2312" w:eastAsia="仿宋_GB2312" w:cs="仿宋_GB2312"/>
          <w:b w:val="0"/>
          <w:i w:val="0"/>
          <w:caps w:val="0"/>
          <w:color w:val="auto"/>
          <w:spacing w:val="0"/>
          <w:w w:val="100"/>
          <w:kern w:val="2"/>
          <w:sz w:val="32"/>
          <w:szCs w:val="32"/>
          <w:highlight w:val="none"/>
          <w:lang w:val="en-US" w:eastAsia="zh-CN" w:bidi="ar-SA"/>
        </w:rPr>
        <w:t>。</w:t>
      </w:r>
    </w:p>
    <w:p>
      <w:pPr>
        <w:numPr>
          <w:ilvl w:val="0"/>
          <w:numId w:val="9"/>
        </w:numPr>
        <w:spacing w:line="600" w:lineRule="exact"/>
        <w:ind w:firstLine="640" w:firstLineChars="200"/>
        <w:rPr>
          <w:rFonts w:eastAsia="黑体"/>
          <w:color w:val="auto"/>
          <w:sz w:val="32"/>
          <w:szCs w:val="32"/>
          <w:highlight w:val="none"/>
        </w:rPr>
      </w:pPr>
      <w:r>
        <w:rPr>
          <w:rFonts w:eastAsia="黑体"/>
          <w:color w:val="auto"/>
          <w:sz w:val="32"/>
          <w:szCs w:val="32"/>
          <w:highlight w:val="none"/>
        </w:rPr>
        <w:t>有关建议</w:t>
      </w:r>
    </w:p>
    <w:p>
      <w:pPr>
        <w:spacing w:line="600" w:lineRule="exact"/>
        <w:ind w:firstLine="640" w:firstLineChars="200"/>
        <w:rPr>
          <w:color w:val="auto"/>
          <w:highlight w:val="none"/>
        </w:rPr>
      </w:pPr>
      <w:r>
        <w:rPr>
          <w:rFonts w:hint="eastAsia" w:ascii="仿宋_GB2312" w:hAnsi="仿宋_GB2312" w:eastAsia="仿宋_GB2312" w:cs="仿宋_GB2312"/>
          <w:color w:val="auto"/>
          <w:sz w:val="32"/>
          <w:szCs w:val="28"/>
          <w:highlight w:val="none"/>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9"/>
        </w:numPr>
        <w:spacing w:line="600" w:lineRule="exact"/>
        <w:ind w:firstLine="640" w:firstLineChars="200"/>
        <w:rPr>
          <w:rFonts w:eastAsia="黑体"/>
          <w:color w:val="auto"/>
          <w:sz w:val="32"/>
          <w:szCs w:val="32"/>
          <w:highlight w:val="none"/>
        </w:rPr>
      </w:pPr>
      <w:r>
        <w:rPr>
          <w:rFonts w:eastAsia="黑体"/>
          <w:color w:val="auto"/>
          <w:sz w:val="32"/>
          <w:szCs w:val="32"/>
          <w:highlight w:val="none"/>
        </w:rPr>
        <w:t>其他需要说</w:t>
      </w:r>
      <w:bookmarkStart w:id="3" w:name="page8"/>
      <w:bookmarkEnd w:id="3"/>
      <w:r>
        <w:rPr>
          <w:rFonts w:eastAsia="黑体"/>
          <w:color w:val="auto"/>
          <w:sz w:val="32"/>
          <w:szCs w:val="32"/>
          <w:highlight w:val="none"/>
        </w:rPr>
        <w:t>明的问题</w:t>
      </w:r>
    </w:p>
    <w:p>
      <w:pPr>
        <w:pStyle w:val="20"/>
        <w:jc w:val="both"/>
        <w:rPr>
          <w:rFonts w:hint="eastAsia" w:ascii="仿宋_GB2312" w:hAnsi="仿宋_GB2312" w:eastAsia="仿宋_GB2312" w:cs="仿宋_GB2312"/>
          <w:b w:val="0"/>
          <w:bCs w:val="0"/>
          <w:color w:val="auto"/>
          <w:kern w:val="2"/>
          <w:sz w:val="32"/>
          <w:szCs w:val="28"/>
          <w:highlight w:val="none"/>
          <w:lang w:val="en-US" w:eastAsia="zh-CN" w:bidi="ar-SA"/>
        </w:rPr>
      </w:pPr>
      <w:r>
        <w:rPr>
          <w:rFonts w:hint="eastAsia" w:ascii="仿宋_GB2312" w:hAnsi="仿宋_GB2312" w:eastAsia="仿宋_GB2312" w:cs="仿宋_GB2312"/>
          <w:b w:val="0"/>
          <w:bCs w:val="0"/>
          <w:color w:val="auto"/>
          <w:kern w:val="2"/>
          <w:sz w:val="32"/>
          <w:szCs w:val="28"/>
          <w:highlight w:val="none"/>
          <w:lang w:val="en-US" w:eastAsia="zh-CN" w:bidi="ar-SA"/>
        </w:rPr>
        <w:t>无。</w:t>
      </w:r>
    </w:p>
    <w:p>
      <w:pPr>
        <w:rPr>
          <w:rFonts w:hint="eastAsia" w:ascii="仿宋_GB2312" w:hAnsi="仿宋_GB2312" w:eastAsia="仿宋_GB2312" w:cs="仿宋_GB2312"/>
          <w:b w:val="0"/>
          <w:bCs w:val="0"/>
          <w:color w:val="auto"/>
          <w:kern w:val="2"/>
          <w:sz w:val="32"/>
          <w:szCs w:val="28"/>
          <w:highlight w:val="none"/>
          <w:lang w:val="en-US" w:eastAsia="zh-CN" w:bidi="ar-SA"/>
        </w:rPr>
      </w:pPr>
      <w:r>
        <w:rPr>
          <w:rFonts w:hint="eastAsia" w:ascii="仿宋_GB2312" w:hAnsi="仿宋_GB2312" w:eastAsia="仿宋_GB2312" w:cs="仿宋_GB2312"/>
          <w:b w:val="0"/>
          <w:bCs w:val="0"/>
          <w:color w:val="auto"/>
          <w:kern w:val="2"/>
          <w:sz w:val="32"/>
          <w:szCs w:val="28"/>
          <w:highlight w:val="none"/>
          <w:lang w:val="en-US" w:eastAsia="zh-CN" w:bidi="ar-SA"/>
        </w:rPr>
        <w:br w:type="page"/>
      </w:r>
    </w:p>
    <w:p>
      <w:pPr>
        <w:rPr>
          <w:rFonts w:hint="eastAsia"/>
          <w:color w:val="auto"/>
          <w:lang w:val="en-US" w:eastAsia="zh-CN"/>
        </w:rPr>
      </w:pPr>
    </w:p>
    <w:tbl>
      <w:tblPr>
        <w:tblStyle w:val="23"/>
        <w:tblW w:w="13988" w:type="dxa"/>
        <w:tblInd w:w="0" w:type="dxa"/>
        <w:shd w:val="clear" w:color="auto" w:fill="auto"/>
        <w:tblLayout w:type="fixed"/>
        <w:tblCellMar>
          <w:top w:w="0" w:type="dxa"/>
          <w:left w:w="0" w:type="dxa"/>
          <w:bottom w:w="0" w:type="dxa"/>
          <w:right w:w="0" w:type="dxa"/>
        </w:tblCellMar>
      </w:tblPr>
      <w:tblGrid>
        <w:gridCol w:w="583"/>
        <w:gridCol w:w="583"/>
        <w:gridCol w:w="583"/>
        <w:gridCol w:w="1308"/>
        <w:gridCol w:w="930"/>
        <w:gridCol w:w="930"/>
        <w:gridCol w:w="930"/>
        <w:gridCol w:w="929"/>
        <w:gridCol w:w="931"/>
        <w:gridCol w:w="930"/>
        <w:gridCol w:w="930"/>
        <w:gridCol w:w="1119"/>
        <w:gridCol w:w="993"/>
        <w:gridCol w:w="2309"/>
      </w:tblGrid>
      <w:tr>
        <w:tblPrEx>
          <w:tblCellMar>
            <w:top w:w="0" w:type="dxa"/>
            <w:left w:w="0" w:type="dxa"/>
            <w:bottom w:w="0" w:type="dxa"/>
            <w:right w:w="0" w:type="dxa"/>
          </w:tblCellMar>
        </w:tblPrEx>
        <w:trPr>
          <w:trHeight w:val="405" w:hRule="atLeast"/>
        </w:trPr>
        <w:tc>
          <w:tcPr>
            <w:tcW w:w="13988"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32"/>
                <w:szCs w:val="32"/>
                <w:u w:val="none"/>
              </w:rPr>
            </w:pPr>
            <w:r>
              <w:rPr>
                <w:rFonts w:hint="eastAsia" w:ascii="宋体" w:hAnsi="宋体" w:eastAsia="宋体" w:cs="宋体"/>
                <w:b/>
                <w:i w:val="0"/>
                <w:color w:val="auto"/>
                <w:kern w:val="0"/>
                <w:sz w:val="32"/>
                <w:szCs w:val="32"/>
                <w:u w:val="none"/>
                <w:lang w:val="en-US" w:eastAsia="zh-CN" w:bidi="ar"/>
              </w:rPr>
              <w:t>项目支出绩效自评表</w:t>
            </w:r>
          </w:p>
        </w:tc>
      </w:tr>
      <w:tr>
        <w:tblPrEx>
          <w:tblCellMar>
            <w:top w:w="0" w:type="dxa"/>
            <w:left w:w="0" w:type="dxa"/>
            <w:bottom w:w="0" w:type="dxa"/>
            <w:right w:w="0" w:type="dxa"/>
          </w:tblCellMar>
        </w:tblPrEx>
        <w:trPr>
          <w:trHeight w:val="380" w:hRule="atLeast"/>
        </w:trPr>
        <w:tc>
          <w:tcPr>
            <w:tcW w:w="13988"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(2024年度)</w:t>
            </w:r>
          </w:p>
        </w:tc>
      </w:tr>
      <w:tr>
        <w:tblPrEx>
          <w:tblCellMar>
            <w:top w:w="0" w:type="dxa"/>
            <w:left w:w="0" w:type="dxa"/>
            <w:bottom w:w="0" w:type="dxa"/>
            <w:right w:w="0" w:type="dxa"/>
          </w:tblCellMar>
        </w:tblPrEx>
        <w:trPr>
          <w:trHeight w:val="380" w:hRule="atLeast"/>
        </w:trPr>
        <w:tc>
          <w:tcPr>
            <w:tcW w:w="11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项目名称</w:t>
            </w:r>
          </w:p>
        </w:tc>
        <w:tc>
          <w:tcPr>
            <w:tcW w:w="1282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自治区动物防疫等补助资金</w:t>
            </w:r>
          </w:p>
        </w:tc>
      </w:tr>
      <w:tr>
        <w:tblPrEx>
          <w:tblCellMar>
            <w:top w:w="0" w:type="dxa"/>
            <w:left w:w="0" w:type="dxa"/>
            <w:bottom w:w="0" w:type="dxa"/>
            <w:right w:w="0" w:type="dxa"/>
          </w:tblCellMar>
        </w:tblPrEx>
        <w:trPr>
          <w:trHeight w:val="380" w:hRule="atLeast"/>
        </w:trPr>
        <w:tc>
          <w:tcPr>
            <w:tcW w:w="11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主管部门</w:t>
            </w:r>
          </w:p>
        </w:tc>
        <w:tc>
          <w:tcPr>
            <w:tcW w:w="468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自治区畜牧兽医局</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实施单位</w:t>
            </w:r>
          </w:p>
        </w:tc>
        <w:tc>
          <w:tcPr>
            <w:tcW w:w="628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新疆维吾尔自治区动物卫生监督所（新疆维吾尔自治区动物疾病预防控制中心）</w:t>
            </w:r>
          </w:p>
        </w:tc>
      </w:tr>
      <w:tr>
        <w:tblPrEx>
          <w:tblCellMar>
            <w:top w:w="0" w:type="dxa"/>
            <w:left w:w="0" w:type="dxa"/>
            <w:bottom w:w="0" w:type="dxa"/>
            <w:right w:w="0" w:type="dxa"/>
          </w:tblCellMar>
        </w:tblPrEx>
        <w:trPr>
          <w:trHeight w:val="380" w:hRule="atLeast"/>
        </w:trPr>
        <w:tc>
          <w:tcPr>
            <w:tcW w:w="11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项目资金</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（万元）</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年初预算数</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全年预算数</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全年执行数</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分值</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执行率</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得分</w:t>
            </w:r>
          </w:p>
        </w:tc>
      </w:tr>
      <w:tr>
        <w:tblPrEx>
          <w:tblCellMar>
            <w:top w:w="0" w:type="dxa"/>
            <w:left w:w="0" w:type="dxa"/>
            <w:bottom w:w="0" w:type="dxa"/>
            <w:right w:w="0" w:type="dxa"/>
          </w:tblCellMar>
        </w:tblPrEx>
        <w:trPr>
          <w:trHeight w:val="380" w:hRule="atLeast"/>
        </w:trPr>
        <w:tc>
          <w:tcPr>
            <w:tcW w:w="11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年度资金总额</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820.00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820.00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820.00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100.00%</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w:t>
            </w:r>
          </w:p>
        </w:tc>
      </w:tr>
      <w:tr>
        <w:tblPrEx>
          <w:tblCellMar>
            <w:top w:w="0" w:type="dxa"/>
            <w:left w:w="0" w:type="dxa"/>
            <w:bottom w:w="0" w:type="dxa"/>
            <w:right w:w="0" w:type="dxa"/>
          </w:tblCellMar>
        </w:tblPrEx>
        <w:trPr>
          <w:trHeight w:val="380" w:hRule="atLeast"/>
        </w:trPr>
        <w:tc>
          <w:tcPr>
            <w:tcW w:w="11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其中：当年财政拨款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820.00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820.00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820.00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r>
      <w:tr>
        <w:tblPrEx>
          <w:tblCellMar>
            <w:top w:w="0" w:type="dxa"/>
            <w:left w:w="0" w:type="dxa"/>
            <w:bottom w:w="0" w:type="dxa"/>
            <w:right w:w="0" w:type="dxa"/>
          </w:tblCellMar>
        </w:tblPrEx>
        <w:trPr>
          <w:trHeight w:val="380" w:hRule="atLeast"/>
        </w:trPr>
        <w:tc>
          <w:tcPr>
            <w:tcW w:w="11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 xml:space="preserve">  其他资金</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r>
      <w:tr>
        <w:tblPrEx>
          <w:tblCellMar>
            <w:top w:w="0" w:type="dxa"/>
            <w:left w:w="0" w:type="dxa"/>
            <w:bottom w:w="0" w:type="dxa"/>
            <w:right w:w="0" w:type="dxa"/>
          </w:tblCellMar>
        </w:tblPrEx>
        <w:trPr>
          <w:trHeight w:val="38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年度总体目标</w:t>
            </w:r>
          </w:p>
        </w:tc>
        <w:tc>
          <w:tcPr>
            <w:tcW w:w="52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预期目标</w:t>
            </w:r>
          </w:p>
        </w:tc>
        <w:tc>
          <w:tcPr>
            <w:tcW w:w="814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实际完成情况</w:t>
            </w:r>
          </w:p>
        </w:tc>
      </w:tr>
      <w:tr>
        <w:tblPrEx>
          <w:tblCellMar>
            <w:top w:w="0" w:type="dxa"/>
            <w:left w:w="0" w:type="dxa"/>
            <w:bottom w:w="0" w:type="dxa"/>
            <w:right w:w="0" w:type="dxa"/>
          </w:tblCellMar>
        </w:tblPrEx>
        <w:trPr>
          <w:trHeight w:val="70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2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该项目总体目标是为了有效开展动物疫病监测、流行病学调查、实验室鉴定、屠宰检疫监管及技术指导等工作及用于满足单位业务需求的费用。一、我单位组织重大动物疫病疫苗免疫效果监测评估和畜禽屠宰场检查工作涉及14个地（州、市），达到全覆盖。完成主要动物疫病疫苗免疫效果采样监测数量3.55万份，监测任务于2024年12月31日前完成，经费不超过498万元，保证主要动物疫病样品采集合格率达100%。二、我单位组织开展执业兽医考试，执业兽医资格考试要在2024年12月31日前完成，经费不超过72万元，确保执业兽医资格考试按期计划完成率达到100%。三、试剂、耗材采购经费不超过150万元，主要用于购买非洲猪瘟、口蹄疫、高致病性禽流感、布病、结核病、马鼻疽、马传贫等动物疫病检测试剂和全疆实验室能力比对比对标准样品口蹄疫比对血清、布病比对血清、禽流感比对血清、非洲猪瘟比对样品等。四、我单位还需进行应急物资储备管理，经费不超过100万元，保证试剂、耗材、应急物资采购任务完成率达到100%。该项目完成时确保各地州动物疫病防控机构满意度达到90%以上。</w:t>
            </w:r>
          </w:p>
        </w:tc>
        <w:tc>
          <w:tcPr>
            <w:tcW w:w="814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该项目已有效开展动物疫病监测、流行病学调查、实验室鉴定、屠宰检疫监管及技术指导等工作。一、我单位组织重大动物疫病疫苗免疫效果监测评估和畜禽屠宰场检查工作涉及14个地（州、市），达到全覆盖。完成对91个实验室进行了实验室能力比对，完成4次培训，培训92人次，完成主要动物疫病疫苗免疫效果采样监测数量3.7524万份，监测任务于2024年12月31日前完成，经费不超过498万元，保证主要动物疫病样品采集合格率达100%。二、我单位组织开展执业兽医考试，执业兽医资格考试要在2024年12月31日前完成，经费不超过72万元，确保执业兽医资格考试按期计划完成率达到100%。三、试剂、耗材采购经费不超过150万元，主要用于购买非洲猪瘟、口蹄疫、高致病性禽流感、布病、结核病、马鼻疽、马传贫等动物疫病检测试剂和全疆实验室能力比对比对标准样品口蹄疫比对血清、布病比对血清、禽流感比对血清、非洲猪瘟比对样品等。四、我单位还需进行应急物资储备管理，经费不超过100万元，保证试剂、耗材、应急物资采购任务完成率达到100%。该项目完成时确保各地州动物疫病防控机构满意度达到90%以上。</w:t>
            </w:r>
          </w:p>
        </w:tc>
      </w:tr>
      <w:tr>
        <w:tblPrEx>
          <w:tblCellMar>
            <w:top w:w="0" w:type="dxa"/>
            <w:left w:w="0" w:type="dxa"/>
            <w:bottom w:w="0" w:type="dxa"/>
            <w:right w:w="0" w:type="dxa"/>
          </w:tblCellMar>
        </w:tblPrEx>
        <w:trPr>
          <w:trHeight w:val="27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一级指标</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二级指标</w:t>
            </w:r>
          </w:p>
        </w:tc>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三级指标</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权重</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目标值</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业绩值</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完成率</w:t>
            </w:r>
          </w:p>
        </w:tc>
        <w:tc>
          <w:tcPr>
            <w:tcW w:w="9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指标得分</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指标值设定依据</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上年完成情况</w:t>
            </w:r>
          </w:p>
        </w:tc>
        <w:tc>
          <w:tcPr>
            <w:tcW w:w="11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赋分规则</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佐证资料</w:t>
            </w:r>
          </w:p>
        </w:tc>
        <w:tc>
          <w:tcPr>
            <w:tcW w:w="23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偏差原因分析及改进措施</w:t>
            </w:r>
          </w:p>
        </w:tc>
      </w:tr>
      <w:tr>
        <w:tblPrEx>
          <w:tblCellMar>
            <w:top w:w="0" w:type="dxa"/>
            <w:left w:w="0" w:type="dxa"/>
            <w:bottom w:w="0" w:type="dxa"/>
            <w:right w:w="0" w:type="dxa"/>
          </w:tblCellMar>
        </w:tblPrEx>
        <w:trPr>
          <w:trHeight w:val="27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2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年度绩效指标完成情况</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产出指标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重大动物疫病疫苗免疫效果监测评估全覆盖数量</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14个地州</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=14个地州</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14个</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畜禽屠宰场检查覆盖数量</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14个地州</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=14个地州</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14个</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主要动物疫病疫苗免疫效果采样监测数量</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&gt;=3.55万份</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=3.7524万份</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105.7</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4.71</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3.6万份</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上报预算时，国家任务数未下达，根据上一年的任务数制定，国家下达任务数每年都有变化。改进措施：统筹谋划，做好项目申报前的准备工作，具体分析近3年的采样数量，合理制定下一年预算指标。</w:t>
            </w: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全疆兽医实验室能力比对县市覆盖数量</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&gt;=88个</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=91个</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103.4</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4.83</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90个</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有新增验收通过的实验室。把好项目申报关，做好项目计划，严格落实项目计划，严格项目监督。</w:t>
            </w: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培训次数</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&gt;=4次</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=4次</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新增了一期动物疫病诊断技术培训。改进措施：把好项目申报关，做好项目计划，严格落实项目计划，严格项目监督。</w:t>
            </w: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培训人次</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&gt;=80人</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=92人</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115</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4.25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1、后期培训人员做了部分调整，2、新增了一期动物疫病诊断技术培训。改进措施：把好项目申报关，做好项目计划，严格落实项目计划，严格项目监督。</w:t>
            </w: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服务执业兽医资格考试科次</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&gt;=10000科次</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=12527科次</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125.27</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3.74</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考试人数每年浮动较大，报考人数只能在报名结束后才能确定；2、执业兽医考试的特殊性，考生每年可报考单科，单科考试成绩合格后，3年内有效。3、文件规定3个连续年度内全部科目成绩合格的，视为考试通过，也是导致报考人数增多的原因。改进措施：统筹谋划，做好项目申报前的准备工作，具体分析近3年的报考人数变化，合理制定下一年预算指标数。</w:t>
            </w: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质量指标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主要动物疫病样品采集合格率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质量指标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试剂、耗材、应急物资采购任务完成完成率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时效指标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动物疫病采样监测按期计划完成率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时效指标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培训班按期完成率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时效指标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服务执业兽医资格考试按期计划完成率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成本指标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经济成本指标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动物疫病采样监测经费</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&lt;=498万元</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=498万元</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原始凭证</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经济成本指标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服务执业兽医资格考试成本</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&lt;=72万元</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=72万元</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原始凭证</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社会成本指标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生态环境成本指标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效益指标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经济效益指标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社会效益指标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生态效益指标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满意度指标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满意度指标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地州动物疫病防控机构满意度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&gt;=90%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90%</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满意度赋分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3057"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97.53分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r>
    </w:tbl>
    <w:p>
      <w:pPr>
        <w:pStyle w:val="2"/>
        <w:rPr>
          <w:rFonts w:hint="eastAsia"/>
          <w:color w:val="auto"/>
          <w:lang w:val="en-US" w:eastAsia="zh-CN"/>
        </w:rPr>
        <w:sectPr>
          <w:footerReference r:id="rId3" w:type="default"/>
          <w:pgSz w:w="16838" w:h="11906" w:orient="landscape"/>
          <w:pgMar w:top="1800" w:right="1440" w:bottom="1558" w:left="1440" w:header="851" w:footer="992" w:gutter="0"/>
          <w:cols w:space="425" w:num="1"/>
          <w:docGrid w:type="lines" w:linePitch="312" w:charSpace="0"/>
        </w:sectPr>
      </w:pPr>
    </w:p>
    <w:p>
      <w:pPr>
        <w:spacing w:line="600" w:lineRule="exact"/>
        <w:rPr>
          <w:bCs/>
          <w:color w:val="auto"/>
          <w:sz w:val="32"/>
          <w:szCs w:val="32"/>
          <w:highlight w:val="none"/>
        </w:rPr>
      </w:pPr>
      <w:r>
        <w:rPr>
          <w:bCs/>
          <w:color w:val="auto"/>
          <w:sz w:val="32"/>
          <w:szCs w:val="32"/>
          <w:highlight w:val="none"/>
        </w:rPr>
        <w:t>附件1</w:t>
      </w:r>
    </w:p>
    <w:tbl>
      <w:tblPr>
        <w:tblStyle w:val="23"/>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一级指标</w:t>
            </w:r>
          </w:p>
        </w:tc>
        <w:tc>
          <w:tcPr>
            <w:tcW w:w="767"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87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235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指标解释</w:t>
            </w:r>
          </w:p>
        </w:tc>
        <w:tc>
          <w:tcPr>
            <w:tcW w:w="5188"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指标说明</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136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决策　</w:t>
            </w:r>
          </w:p>
          <w:p>
            <w:pPr>
              <w:widowControl/>
              <w:spacing w:line="0" w:lineRule="atLeast"/>
              <w:jc w:val="center"/>
              <w:rPr>
                <w:color w:val="auto"/>
                <w:kern w:val="0"/>
                <w:sz w:val="22"/>
                <w:szCs w:val="22"/>
                <w:highlight w:val="none"/>
              </w:rPr>
            </w:pPr>
            <w:r>
              <w:rPr>
                <w:color w:val="auto"/>
                <w:kern w:val="0"/>
                <w:sz w:val="22"/>
                <w:szCs w:val="22"/>
                <w:highlight w:val="none"/>
              </w:rPr>
              <w:t>　</w:t>
            </w:r>
          </w:p>
          <w:p>
            <w:pPr>
              <w:spacing w:line="0" w:lineRule="atLeast"/>
              <w:jc w:val="center"/>
              <w:rPr>
                <w:color w:val="auto"/>
                <w:kern w:val="0"/>
                <w:sz w:val="22"/>
                <w:szCs w:val="22"/>
                <w:highlight w:val="none"/>
              </w:rPr>
            </w:pPr>
            <w:r>
              <w:rPr>
                <w:color w:val="auto"/>
                <w:kern w:val="0"/>
                <w:sz w:val="22"/>
                <w:szCs w:val="22"/>
                <w:highlight w:val="none"/>
              </w:rPr>
              <w:t>　</w:t>
            </w:r>
          </w:p>
        </w:tc>
        <w:tc>
          <w:tcPr>
            <w:tcW w:w="767"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立项依据</w:t>
            </w:r>
          </w:p>
          <w:p>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rFonts w:hint="eastAsia" w:eastAsia="宋体"/>
                <w:color w:val="auto"/>
                <w:kern w:val="0"/>
                <w:sz w:val="22"/>
                <w:szCs w:val="22"/>
                <w:highlight w:val="none"/>
                <w:lang w:eastAsia="zh-CN"/>
              </w:rPr>
            </w:pPr>
            <w:r>
              <w:rPr>
                <w:color w:val="auto"/>
                <w:kern w:val="0"/>
                <w:sz w:val="22"/>
                <w:szCs w:val="22"/>
                <w:highlight w:val="none"/>
              </w:rPr>
              <w:t>评价要点：</w:t>
            </w:r>
          </w:p>
          <w:p>
            <w:pPr>
              <w:widowControl/>
              <w:spacing w:line="0" w:lineRule="atLeast"/>
              <w:jc w:val="left"/>
              <w:rPr>
                <w:rFonts w:hint="eastAsia" w:eastAsia="宋体"/>
                <w:color w:val="auto"/>
                <w:kern w:val="0"/>
                <w:sz w:val="22"/>
                <w:szCs w:val="22"/>
                <w:highlight w:val="none"/>
                <w:lang w:eastAsia="zh-CN"/>
              </w:rPr>
            </w:pPr>
            <w:r>
              <w:rPr>
                <w:color w:val="auto"/>
                <w:kern w:val="0"/>
                <w:sz w:val="22"/>
                <w:szCs w:val="22"/>
                <w:highlight w:val="none"/>
              </w:rPr>
              <w:t>①项目立项是否符合国家法律法规、国民经济发展规划和相关政策；</w:t>
            </w:r>
          </w:p>
          <w:p>
            <w:pPr>
              <w:widowControl/>
              <w:spacing w:line="0" w:lineRule="atLeast"/>
              <w:jc w:val="left"/>
              <w:rPr>
                <w:rFonts w:hint="eastAsia" w:eastAsia="宋体"/>
                <w:color w:val="auto"/>
                <w:kern w:val="0"/>
                <w:sz w:val="22"/>
                <w:szCs w:val="22"/>
                <w:highlight w:val="none"/>
                <w:lang w:eastAsia="zh-CN"/>
              </w:rPr>
            </w:pPr>
            <w:r>
              <w:rPr>
                <w:color w:val="auto"/>
                <w:kern w:val="0"/>
                <w:sz w:val="22"/>
                <w:szCs w:val="22"/>
                <w:highlight w:val="none"/>
              </w:rPr>
              <w:t>②项目立项是否符合行业发展规划和政策要求；</w:t>
            </w:r>
          </w:p>
          <w:p>
            <w:pPr>
              <w:widowControl/>
              <w:spacing w:line="0" w:lineRule="atLeast"/>
              <w:jc w:val="left"/>
              <w:rPr>
                <w:rFonts w:hint="eastAsia" w:eastAsia="宋体"/>
                <w:color w:val="auto"/>
                <w:kern w:val="0"/>
                <w:sz w:val="22"/>
                <w:szCs w:val="22"/>
                <w:highlight w:val="none"/>
                <w:lang w:eastAsia="zh-CN"/>
              </w:rPr>
            </w:pPr>
            <w:r>
              <w:rPr>
                <w:color w:val="auto"/>
                <w:kern w:val="0"/>
                <w:sz w:val="22"/>
                <w:szCs w:val="22"/>
                <w:highlight w:val="none"/>
              </w:rPr>
              <w:t>③项目立项是否与部门职责范围相符，属于部门履职所需；</w:t>
            </w:r>
          </w:p>
          <w:p>
            <w:pPr>
              <w:widowControl/>
              <w:spacing w:line="0" w:lineRule="atLeast"/>
              <w:jc w:val="left"/>
              <w:rPr>
                <w:rFonts w:hint="eastAsia" w:eastAsia="宋体"/>
                <w:color w:val="auto"/>
                <w:kern w:val="0"/>
                <w:sz w:val="22"/>
                <w:szCs w:val="22"/>
                <w:highlight w:val="none"/>
                <w:lang w:eastAsia="zh-CN"/>
              </w:rPr>
            </w:pPr>
            <w:r>
              <w:rPr>
                <w:color w:val="auto"/>
                <w:kern w:val="0"/>
                <w:sz w:val="22"/>
                <w:szCs w:val="22"/>
                <w:highlight w:val="none"/>
              </w:rPr>
              <w:t>④项目是否属于公共财政支持范围，是否符合中央、地方事权支出责任划分原则；</w:t>
            </w:r>
          </w:p>
          <w:p>
            <w:pPr>
              <w:widowControl/>
              <w:spacing w:line="0" w:lineRule="atLeast"/>
              <w:jc w:val="left"/>
              <w:rPr>
                <w:color w:val="auto"/>
                <w:kern w:val="0"/>
                <w:sz w:val="22"/>
                <w:szCs w:val="22"/>
                <w:highlight w:val="none"/>
              </w:rPr>
            </w:pPr>
            <w:r>
              <w:rPr>
                <w:color w:val="auto"/>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color w:val="auto"/>
                <w:kern w:val="0"/>
                <w:sz w:val="22"/>
                <w:szCs w:val="22"/>
                <w:highlight w:val="none"/>
              </w:rPr>
            </w:pPr>
          </w:p>
        </w:tc>
        <w:tc>
          <w:tcPr>
            <w:tcW w:w="767"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立项程序</w:t>
            </w:r>
          </w:p>
          <w:p>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rFonts w:hint="eastAsia" w:eastAsia="宋体"/>
                <w:color w:val="auto"/>
                <w:kern w:val="0"/>
                <w:sz w:val="22"/>
                <w:szCs w:val="22"/>
                <w:highlight w:val="none"/>
                <w:lang w:eastAsia="zh-CN"/>
              </w:rPr>
            </w:pPr>
            <w:r>
              <w:rPr>
                <w:color w:val="auto"/>
                <w:kern w:val="0"/>
                <w:sz w:val="22"/>
                <w:szCs w:val="22"/>
                <w:highlight w:val="none"/>
              </w:rPr>
              <w:t>评价要点：</w:t>
            </w:r>
          </w:p>
          <w:p>
            <w:pPr>
              <w:widowControl/>
              <w:spacing w:line="0" w:lineRule="atLeast"/>
              <w:jc w:val="left"/>
              <w:rPr>
                <w:rFonts w:hint="eastAsia" w:eastAsia="宋体"/>
                <w:color w:val="auto"/>
                <w:kern w:val="0"/>
                <w:sz w:val="22"/>
                <w:szCs w:val="22"/>
                <w:highlight w:val="none"/>
                <w:lang w:eastAsia="zh-CN"/>
              </w:rPr>
            </w:pPr>
            <w:r>
              <w:rPr>
                <w:color w:val="auto"/>
                <w:kern w:val="0"/>
                <w:sz w:val="22"/>
                <w:szCs w:val="22"/>
                <w:highlight w:val="none"/>
              </w:rPr>
              <w:t>①项目是否按照规定的程序申请设立；</w:t>
            </w:r>
          </w:p>
          <w:p>
            <w:pPr>
              <w:widowControl/>
              <w:spacing w:line="0" w:lineRule="atLeast"/>
              <w:jc w:val="left"/>
              <w:rPr>
                <w:rFonts w:hint="eastAsia" w:eastAsia="宋体"/>
                <w:color w:val="auto"/>
                <w:kern w:val="0"/>
                <w:sz w:val="22"/>
                <w:szCs w:val="22"/>
                <w:highlight w:val="none"/>
                <w:lang w:eastAsia="zh-CN"/>
              </w:rPr>
            </w:pPr>
            <w:r>
              <w:rPr>
                <w:color w:val="auto"/>
                <w:kern w:val="0"/>
                <w:sz w:val="22"/>
                <w:szCs w:val="22"/>
                <w:highlight w:val="none"/>
              </w:rPr>
              <w:t>②审批文件、材料是否符合相关要求；</w:t>
            </w:r>
          </w:p>
          <w:p>
            <w:pPr>
              <w:widowControl/>
              <w:spacing w:line="0" w:lineRule="atLeast"/>
              <w:jc w:val="left"/>
              <w:rPr>
                <w:color w:val="auto"/>
                <w:kern w:val="0"/>
                <w:sz w:val="22"/>
                <w:szCs w:val="22"/>
                <w:highlight w:val="none"/>
              </w:rPr>
            </w:pPr>
            <w:r>
              <w:rPr>
                <w:color w:val="auto"/>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color w:val="auto"/>
                <w:kern w:val="0"/>
                <w:sz w:val="22"/>
                <w:szCs w:val="22"/>
                <w:highlight w:val="none"/>
              </w:rPr>
            </w:pPr>
          </w:p>
        </w:tc>
        <w:tc>
          <w:tcPr>
            <w:tcW w:w="76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rFonts w:hint="eastAsia" w:eastAsia="宋体"/>
                <w:color w:val="auto"/>
                <w:kern w:val="0"/>
                <w:sz w:val="22"/>
                <w:szCs w:val="22"/>
                <w:highlight w:val="none"/>
                <w:lang w:eastAsia="zh-CN"/>
              </w:rPr>
            </w:pPr>
            <w:r>
              <w:rPr>
                <w:color w:val="auto"/>
                <w:kern w:val="0"/>
                <w:sz w:val="22"/>
                <w:szCs w:val="22"/>
                <w:highlight w:val="none"/>
              </w:rPr>
              <w:t>评价要点：</w:t>
            </w:r>
          </w:p>
          <w:p>
            <w:pPr>
              <w:widowControl/>
              <w:spacing w:line="0" w:lineRule="atLeast"/>
              <w:jc w:val="left"/>
              <w:rPr>
                <w:rFonts w:hint="eastAsia" w:eastAsia="宋体"/>
                <w:color w:val="auto"/>
                <w:kern w:val="0"/>
                <w:sz w:val="22"/>
                <w:szCs w:val="22"/>
                <w:highlight w:val="none"/>
                <w:lang w:eastAsia="zh-CN"/>
              </w:rPr>
            </w:pPr>
            <w:r>
              <w:rPr>
                <w:color w:val="auto"/>
                <w:kern w:val="0"/>
                <w:sz w:val="22"/>
                <w:szCs w:val="22"/>
                <w:highlight w:val="none"/>
              </w:rPr>
              <w:t>（如未设定预算绩效目标，也可考核其他工作任务目标）</w:t>
            </w:r>
          </w:p>
          <w:p>
            <w:pPr>
              <w:widowControl/>
              <w:spacing w:line="0" w:lineRule="atLeast"/>
              <w:jc w:val="left"/>
              <w:rPr>
                <w:rFonts w:hint="eastAsia" w:eastAsia="宋体"/>
                <w:color w:val="auto"/>
                <w:kern w:val="0"/>
                <w:sz w:val="22"/>
                <w:szCs w:val="22"/>
                <w:highlight w:val="none"/>
                <w:lang w:eastAsia="zh-CN"/>
              </w:rPr>
            </w:pPr>
            <w:r>
              <w:rPr>
                <w:color w:val="auto"/>
                <w:kern w:val="0"/>
                <w:sz w:val="22"/>
                <w:szCs w:val="22"/>
                <w:highlight w:val="none"/>
              </w:rPr>
              <w:t>①项目是否有绩效目标；</w:t>
            </w:r>
          </w:p>
          <w:p>
            <w:pPr>
              <w:widowControl/>
              <w:spacing w:line="0" w:lineRule="atLeast"/>
              <w:jc w:val="left"/>
              <w:rPr>
                <w:rFonts w:hint="eastAsia" w:eastAsia="宋体"/>
                <w:color w:val="auto"/>
                <w:kern w:val="0"/>
                <w:sz w:val="22"/>
                <w:szCs w:val="22"/>
                <w:highlight w:val="none"/>
                <w:lang w:eastAsia="zh-CN"/>
              </w:rPr>
            </w:pPr>
            <w:r>
              <w:rPr>
                <w:color w:val="auto"/>
                <w:kern w:val="0"/>
                <w:sz w:val="22"/>
                <w:szCs w:val="22"/>
                <w:highlight w:val="none"/>
              </w:rPr>
              <w:t>②项目绩效目标与实际工作内容是否具有相关性；</w:t>
            </w:r>
          </w:p>
          <w:p>
            <w:pPr>
              <w:widowControl/>
              <w:spacing w:line="0" w:lineRule="atLeast"/>
              <w:jc w:val="left"/>
              <w:rPr>
                <w:color w:val="auto"/>
                <w:kern w:val="0"/>
                <w:sz w:val="22"/>
                <w:szCs w:val="22"/>
                <w:highlight w:val="none"/>
              </w:rPr>
            </w:pPr>
            <w:r>
              <w:rPr>
                <w:color w:val="auto"/>
                <w:kern w:val="0"/>
                <w:sz w:val="22"/>
                <w:szCs w:val="22"/>
                <w:highlight w:val="none"/>
              </w:rPr>
              <w:t>③项目预期产出效益和效果是否符合正常的业绩水平；</w:t>
            </w:r>
          </w:p>
          <w:p>
            <w:pPr>
              <w:widowControl/>
              <w:spacing w:line="0" w:lineRule="atLeast"/>
              <w:jc w:val="left"/>
              <w:rPr>
                <w:color w:val="auto"/>
                <w:kern w:val="0"/>
                <w:sz w:val="22"/>
                <w:szCs w:val="22"/>
                <w:highlight w:val="none"/>
              </w:rPr>
            </w:pPr>
            <w:r>
              <w:rPr>
                <w:color w:val="auto"/>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eastAsia="宋体"/>
                <w:b/>
                <w:bCs/>
                <w:color w:val="auto"/>
                <w:kern w:val="0"/>
                <w:sz w:val="22"/>
                <w:szCs w:val="22"/>
                <w:highlight w:val="none"/>
                <w:lang w:eastAsia="zh-CN"/>
              </w:rPr>
            </w:pPr>
            <w:r>
              <w:rPr>
                <w:rFonts w:hint="default"/>
                <w:b/>
                <w:bCs/>
                <w:color w:val="auto"/>
                <w:kern w:val="0"/>
                <w:sz w:val="22"/>
                <w:szCs w:val="22"/>
                <w:highlight w:val="none"/>
                <w:lang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决策　</w:t>
            </w:r>
          </w:p>
        </w:tc>
        <w:tc>
          <w:tcPr>
            <w:tcW w:w="76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绩效指标</w:t>
            </w:r>
          </w:p>
          <w:p>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评价要点：</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①是否将项目绩效目标细化分解为具体的绩效指标；</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②是否通过清晰、可衡量的指标值予以体现；</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③是否与项目目标任务数或计划数相对应。</w:t>
            </w:r>
          </w:p>
          <w:p>
            <w:pPr>
              <w:pStyle w:val="20"/>
              <w:rPr>
                <w:rFonts w:hint="eastAsia"/>
                <w:color w:val="auto"/>
                <w:highlight w:val="none"/>
                <w:lang w:eastAsia="zh-CN"/>
              </w:rPr>
            </w:pP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color w:val="auto"/>
                <w:kern w:val="0"/>
                <w:sz w:val="22"/>
                <w:szCs w:val="22"/>
                <w:highlight w:val="none"/>
              </w:rPr>
            </w:pPr>
          </w:p>
        </w:tc>
        <w:tc>
          <w:tcPr>
            <w:tcW w:w="767"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资金投入</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预算编制</w:t>
            </w:r>
          </w:p>
          <w:p>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评价要点：</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①预算编制是否经过科学论证；</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②预算内容与项目内容是否匹配；</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③预算额度测算依据是否充分，是否按照标准编制；</w:t>
            </w:r>
          </w:p>
          <w:p>
            <w:pPr>
              <w:widowControl/>
              <w:spacing w:line="0" w:lineRule="atLeast"/>
              <w:rPr>
                <w:color w:val="auto"/>
                <w:kern w:val="0"/>
                <w:sz w:val="22"/>
                <w:szCs w:val="22"/>
                <w:highlight w:val="none"/>
              </w:rPr>
            </w:pPr>
            <w:r>
              <w:rPr>
                <w:color w:val="auto"/>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color w:val="auto"/>
                <w:kern w:val="0"/>
                <w:sz w:val="22"/>
                <w:szCs w:val="22"/>
                <w:highlight w:val="none"/>
              </w:rPr>
            </w:pPr>
          </w:p>
        </w:tc>
        <w:tc>
          <w:tcPr>
            <w:tcW w:w="767"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资金分配</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评价要点：</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①预算资金分配依据是否充分；</w:t>
            </w:r>
          </w:p>
          <w:p>
            <w:pPr>
              <w:widowControl/>
              <w:spacing w:line="0" w:lineRule="atLeast"/>
              <w:rPr>
                <w:color w:val="auto"/>
                <w:kern w:val="0"/>
                <w:sz w:val="22"/>
                <w:szCs w:val="22"/>
                <w:highlight w:val="none"/>
              </w:rPr>
            </w:pPr>
            <w:r>
              <w:rPr>
                <w:color w:val="auto"/>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过程</w:t>
            </w:r>
          </w:p>
        </w:tc>
        <w:tc>
          <w:tcPr>
            <w:tcW w:w="767"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资金到位率=（实际到位资金/预算资金）×100%。</w:t>
            </w:r>
          </w:p>
          <w:p>
            <w:pPr>
              <w:widowControl/>
              <w:spacing w:line="0" w:lineRule="atLeast"/>
              <w:rPr>
                <w:color w:val="auto"/>
                <w:kern w:val="0"/>
                <w:sz w:val="22"/>
                <w:szCs w:val="22"/>
                <w:highlight w:val="none"/>
              </w:rPr>
            </w:pPr>
            <w:r>
              <w:rPr>
                <w:color w:val="auto"/>
                <w:kern w:val="0"/>
                <w:sz w:val="22"/>
                <w:szCs w:val="22"/>
                <w:highlight w:val="none"/>
              </w:rPr>
              <w:t>实际到位资金：一定时期（本年度或项目期）内落实到具体项目的资金。</w:t>
            </w:r>
          </w:p>
          <w:p>
            <w:pPr>
              <w:widowControl/>
              <w:spacing w:line="0" w:lineRule="atLeast"/>
              <w:rPr>
                <w:color w:val="auto"/>
                <w:kern w:val="0"/>
                <w:sz w:val="22"/>
                <w:szCs w:val="22"/>
                <w:highlight w:val="none"/>
              </w:rPr>
            </w:pPr>
            <w:r>
              <w:rPr>
                <w:color w:val="auto"/>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color w:val="auto"/>
                <w:kern w:val="0"/>
                <w:sz w:val="22"/>
                <w:szCs w:val="22"/>
                <w:highlight w:val="none"/>
              </w:rPr>
            </w:pPr>
          </w:p>
        </w:tc>
        <w:tc>
          <w:tcPr>
            <w:tcW w:w="767" w:type="dxa"/>
            <w:vMerge w:val="continue"/>
            <w:shd w:val="clear" w:color="auto" w:fill="FFFFFF"/>
            <w:vAlign w:val="center"/>
          </w:tcPr>
          <w:p>
            <w:pPr>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项目预算资金是否按照计划执行，用以反映或考核项目预算执行情况。</w:t>
            </w:r>
          </w:p>
        </w:tc>
        <w:tc>
          <w:tcPr>
            <w:tcW w:w="5188" w:type="dxa"/>
            <w:shd w:val="clear" w:color="auto" w:fill="FFFFFF"/>
            <w:vAlign w:val="center"/>
          </w:tcPr>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预算执行率=（实际支出资金/实际到位资金）×100%。</w:t>
            </w:r>
          </w:p>
          <w:p>
            <w:pPr>
              <w:widowControl/>
              <w:spacing w:line="0" w:lineRule="atLeast"/>
              <w:rPr>
                <w:color w:val="auto"/>
                <w:kern w:val="0"/>
                <w:sz w:val="22"/>
                <w:szCs w:val="22"/>
                <w:highlight w:val="none"/>
              </w:rPr>
            </w:pPr>
            <w:r>
              <w:rPr>
                <w:color w:val="auto"/>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　</w:t>
            </w:r>
          </w:p>
          <w:p>
            <w:pPr>
              <w:spacing w:line="0" w:lineRule="atLeast"/>
              <w:jc w:val="center"/>
              <w:rPr>
                <w:color w:val="auto"/>
                <w:kern w:val="0"/>
                <w:sz w:val="22"/>
                <w:szCs w:val="22"/>
                <w:highlight w:val="none"/>
              </w:rPr>
            </w:pPr>
            <w:r>
              <w:rPr>
                <w:color w:val="auto"/>
                <w:kern w:val="0"/>
                <w:sz w:val="22"/>
                <w:szCs w:val="22"/>
                <w:highlight w:val="none"/>
              </w:rPr>
              <w:t>过程　</w:t>
            </w:r>
          </w:p>
        </w:tc>
        <w:tc>
          <w:tcPr>
            <w:tcW w:w="76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资金使用</w:t>
            </w:r>
          </w:p>
          <w:p>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评价要点：</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①是否符合国家财经法规和财务管理制度以及有关专项资金管理办法的规定；</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②资金的拨付是否有完整的审批程序和手续；</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③是否符合项目预算批复或合同规定的用途；</w:t>
            </w:r>
          </w:p>
          <w:p>
            <w:pPr>
              <w:widowControl/>
              <w:spacing w:line="0" w:lineRule="atLeast"/>
              <w:rPr>
                <w:color w:val="auto"/>
                <w:kern w:val="0"/>
                <w:sz w:val="22"/>
                <w:szCs w:val="22"/>
                <w:highlight w:val="none"/>
              </w:rPr>
            </w:pPr>
            <w:r>
              <w:rPr>
                <w:color w:val="auto"/>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color w:val="auto"/>
                <w:kern w:val="0"/>
                <w:sz w:val="22"/>
                <w:szCs w:val="22"/>
                <w:highlight w:val="none"/>
              </w:rPr>
            </w:pPr>
          </w:p>
        </w:tc>
        <w:tc>
          <w:tcPr>
            <w:tcW w:w="767"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组织实施</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管理制度</w:t>
            </w:r>
          </w:p>
          <w:p>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评价要点：</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①是否已制定或具有相应的财务和业务管理制度；</w:t>
            </w:r>
          </w:p>
          <w:p>
            <w:pPr>
              <w:widowControl/>
              <w:spacing w:line="0" w:lineRule="atLeast"/>
              <w:rPr>
                <w:color w:val="auto"/>
                <w:kern w:val="0"/>
                <w:sz w:val="22"/>
                <w:szCs w:val="22"/>
                <w:highlight w:val="none"/>
              </w:rPr>
            </w:pPr>
            <w:r>
              <w:rPr>
                <w:color w:val="auto"/>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color w:val="auto"/>
                <w:kern w:val="0"/>
                <w:sz w:val="22"/>
                <w:szCs w:val="22"/>
                <w:highlight w:val="none"/>
              </w:rPr>
            </w:pPr>
          </w:p>
        </w:tc>
        <w:tc>
          <w:tcPr>
            <w:tcW w:w="767"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制度执行</w:t>
            </w:r>
          </w:p>
          <w:p>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评价要点：</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①是否遵守相关法律法规和相关管理规定；</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②项目调整及支出调整手续是否完备；</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③项目合同书、验收报告、技术鉴定等资料是否齐全并及时归档；</w:t>
            </w:r>
          </w:p>
          <w:p>
            <w:pPr>
              <w:widowControl/>
              <w:spacing w:line="0" w:lineRule="atLeast"/>
              <w:rPr>
                <w:color w:val="auto"/>
                <w:kern w:val="0"/>
                <w:sz w:val="22"/>
                <w:szCs w:val="22"/>
                <w:highlight w:val="none"/>
              </w:rPr>
            </w:pPr>
            <w:r>
              <w:rPr>
                <w:color w:val="auto"/>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w:t>
            </w:r>
          </w:p>
        </w:tc>
        <w:tc>
          <w:tcPr>
            <w:tcW w:w="76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实际完成率=（实际产出数/计划产出数）×100%。</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实际产出数：一定时期（本年度或项目期）内项目实际产出的产品或提供的服务数量。</w:t>
            </w:r>
          </w:p>
          <w:p>
            <w:pPr>
              <w:widowControl/>
              <w:spacing w:line="0" w:lineRule="atLeast"/>
              <w:rPr>
                <w:color w:val="auto"/>
                <w:kern w:val="0"/>
                <w:sz w:val="22"/>
                <w:szCs w:val="22"/>
                <w:highlight w:val="none"/>
              </w:rPr>
            </w:pPr>
            <w:r>
              <w:rPr>
                <w:color w:val="auto"/>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w:t>
            </w:r>
            <w:r>
              <w:rPr>
                <w:rFonts w:hint="eastAsia"/>
                <w:b/>
                <w:bCs/>
                <w:color w:val="auto"/>
                <w:kern w:val="0"/>
                <w:sz w:val="22"/>
                <w:szCs w:val="22"/>
                <w:highlight w:val="none"/>
              </w:rPr>
              <w:t>0</w:t>
            </w:r>
          </w:p>
        </w:tc>
        <w:tc>
          <w:tcPr>
            <w:tcW w:w="1363" w:type="dxa"/>
            <w:shd w:val="clear" w:color="000000"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w:t>
            </w:r>
          </w:p>
        </w:tc>
        <w:tc>
          <w:tcPr>
            <w:tcW w:w="76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质量达标率=（质量达标产出数/实际产出数）×100%。</w:t>
            </w:r>
          </w:p>
          <w:p>
            <w:pPr>
              <w:widowControl/>
              <w:spacing w:line="0" w:lineRule="atLeast"/>
              <w:rPr>
                <w:color w:val="auto"/>
                <w:kern w:val="0"/>
                <w:sz w:val="22"/>
                <w:szCs w:val="22"/>
                <w:highlight w:val="none"/>
              </w:rPr>
            </w:pPr>
            <w:r>
              <w:rPr>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color w:val="auto"/>
                <w:kern w:val="0"/>
                <w:sz w:val="22"/>
                <w:szCs w:val="22"/>
                <w:highlight w:val="none"/>
              </w:rPr>
            </w:pPr>
          </w:p>
        </w:tc>
        <w:tc>
          <w:tcPr>
            <w:tcW w:w="767" w:type="dxa"/>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产出时效</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实际完成时间：项目实施单位完成该项目实际所耗用的时间。</w:t>
            </w:r>
          </w:p>
          <w:p>
            <w:pPr>
              <w:widowControl/>
              <w:spacing w:line="0" w:lineRule="atLeast"/>
              <w:rPr>
                <w:color w:val="auto"/>
                <w:kern w:val="0"/>
                <w:sz w:val="22"/>
                <w:szCs w:val="22"/>
                <w:highlight w:val="none"/>
              </w:rPr>
            </w:pPr>
            <w:r>
              <w:rPr>
                <w:color w:val="auto"/>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w:t>
            </w:r>
            <w:r>
              <w:rPr>
                <w:rFonts w:hint="eastAsia"/>
                <w:b/>
                <w:bCs/>
                <w:color w:val="auto"/>
                <w:kern w:val="0"/>
                <w:sz w:val="22"/>
                <w:szCs w:val="22"/>
                <w:highlight w:val="none"/>
              </w:rPr>
              <w:t>0</w:t>
            </w:r>
          </w:p>
        </w:tc>
        <w:tc>
          <w:tcPr>
            <w:tcW w:w="1363" w:type="dxa"/>
            <w:shd w:val="clear" w:color="000000" w:fill="FFFFFF"/>
            <w:vAlign w:val="center"/>
          </w:tcPr>
          <w:p>
            <w:pPr>
              <w:widowControl/>
              <w:spacing w:line="0" w:lineRule="atLeast"/>
              <w:jc w:val="center"/>
              <w:rPr>
                <w:rFonts w:hint="default" w:eastAsia="宋体"/>
                <w:b/>
                <w:bCs/>
                <w:color w:val="auto"/>
                <w:kern w:val="0"/>
                <w:sz w:val="22"/>
                <w:szCs w:val="22"/>
                <w:highlight w:val="none"/>
                <w:lang w:eastAsia="zh-CN"/>
              </w:rPr>
            </w:pPr>
            <w:r>
              <w:rPr>
                <w:rFonts w:hint="default"/>
                <w:b/>
                <w:bCs/>
                <w:color w:val="auto"/>
                <w:kern w:val="0"/>
                <w:sz w:val="22"/>
                <w:szCs w:val="22"/>
                <w:highlight w:val="none"/>
                <w:lang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color w:val="auto"/>
                <w:kern w:val="0"/>
                <w:sz w:val="22"/>
                <w:szCs w:val="22"/>
                <w:highlight w:val="none"/>
              </w:rPr>
            </w:pPr>
          </w:p>
        </w:tc>
        <w:tc>
          <w:tcPr>
            <w:tcW w:w="76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rFonts w:hint="eastAsia" w:eastAsia="宋体"/>
                <w:color w:val="auto"/>
                <w:kern w:val="0"/>
                <w:sz w:val="22"/>
                <w:szCs w:val="22"/>
                <w:highlight w:val="none"/>
                <w:lang w:eastAsia="zh-CN"/>
              </w:rPr>
            </w:pP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成本节约率=[（计划成本-实际成本）/计划成本]×100%。</w:t>
            </w:r>
          </w:p>
          <w:p>
            <w:pPr>
              <w:widowControl/>
              <w:spacing w:line="0" w:lineRule="atLeast"/>
              <w:rPr>
                <w:rFonts w:hint="eastAsia" w:eastAsia="宋体"/>
                <w:color w:val="auto"/>
                <w:kern w:val="0"/>
                <w:sz w:val="22"/>
                <w:szCs w:val="22"/>
                <w:highlight w:val="none"/>
                <w:lang w:eastAsia="zh-CN"/>
              </w:rPr>
            </w:pPr>
            <w:r>
              <w:rPr>
                <w:color w:val="auto"/>
                <w:kern w:val="0"/>
                <w:sz w:val="22"/>
                <w:szCs w:val="22"/>
                <w:highlight w:val="none"/>
              </w:rPr>
              <w:t>实际成本：项目实施单位如期、保质、保量完成既定工作目标实际所耗费的支出。</w:t>
            </w:r>
          </w:p>
          <w:p>
            <w:pPr>
              <w:widowControl/>
              <w:spacing w:line="0" w:lineRule="atLeast"/>
              <w:rPr>
                <w:color w:val="auto"/>
                <w:kern w:val="0"/>
                <w:sz w:val="22"/>
                <w:szCs w:val="22"/>
                <w:highlight w:val="none"/>
              </w:rPr>
            </w:pPr>
            <w:r>
              <w:rPr>
                <w:color w:val="auto"/>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效益　</w:t>
            </w:r>
          </w:p>
        </w:tc>
        <w:tc>
          <w:tcPr>
            <w:tcW w:w="767"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实施效益</w:t>
            </w:r>
          </w:p>
        </w:tc>
        <w:tc>
          <w:tcPr>
            <w:tcW w:w="2353"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项目实施所产生的效益。</w:t>
            </w:r>
          </w:p>
        </w:tc>
        <w:tc>
          <w:tcPr>
            <w:tcW w:w="518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15</w:t>
            </w:r>
          </w:p>
        </w:tc>
        <w:tc>
          <w:tcPr>
            <w:tcW w:w="1363" w:type="dxa"/>
            <w:shd w:val="clear" w:color="auto"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color w:val="auto"/>
                <w:kern w:val="0"/>
                <w:sz w:val="22"/>
                <w:szCs w:val="22"/>
                <w:highlight w:val="none"/>
              </w:rPr>
            </w:pPr>
          </w:p>
        </w:tc>
        <w:tc>
          <w:tcPr>
            <w:tcW w:w="767"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社会公众或服务对象对项目实施效果的满意程度。</w:t>
            </w:r>
          </w:p>
        </w:tc>
        <w:tc>
          <w:tcPr>
            <w:tcW w:w="518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5</w:t>
            </w:r>
          </w:p>
        </w:tc>
        <w:tc>
          <w:tcPr>
            <w:tcW w:w="1363" w:type="dxa"/>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5</w:t>
            </w:r>
          </w:p>
        </w:tc>
      </w:tr>
    </w:tbl>
    <w:p>
      <w:pPr>
        <w:pStyle w:val="20"/>
        <w:rPr>
          <w:rFonts w:ascii="Times New Roman" w:hAnsi="Times New Roman"/>
          <w:color w:val="auto"/>
          <w:highlight w:val="none"/>
        </w:rPr>
      </w:pPr>
    </w:p>
    <w:p>
      <w:pPr>
        <w:rPr>
          <w:color w:val="auto"/>
          <w:highlight w:val="none"/>
        </w:rPr>
      </w:pPr>
    </w:p>
    <w:p>
      <w:pPr>
        <w:spacing w:line="540" w:lineRule="exact"/>
        <w:ind w:firstLine="640"/>
        <w:rPr>
          <w:rStyle w:val="25"/>
          <w:rFonts w:eastAsia="黑体"/>
          <w:bCs w:val="0"/>
          <w:color w:val="auto"/>
          <w:spacing w:val="-4"/>
          <w:sz w:val="32"/>
          <w:szCs w:val="32"/>
          <w:highlight w:val="none"/>
        </w:rPr>
      </w:pPr>
    </w:p>
    <w:p>
      <w:pPr>
        <w:spacing w:line="540" w:lineRule="exact"/>
        <w:ind w:firstLine="640"/>
        <w:rPr>
          <w:rStyle w:val="25"/>
          <w:rFonts w:eastAsia="黑体"/>
          <w:bCs w:val="0"/>
          <w:color w:val="auto"/>
          <w:spacing w:val="-4"/>
          <w:sz w:val="32"/>
          <w:szCs w:val="32"/>
          <w:highlight w:val="none"/>
        </w:rPr>
      </w:pPr>
    </w:p>
    <w:p>
      <w:pPr>
        <w:spacing w:line="540" w:lineRule="exact"/>
        <w:ind w:firstLine="640"/>
        <w:rPr>
          <w:rStyle w:val="25"/>
          <w:rFonts w:eastAsia="黑体"/>
          <w:bCs w:val="0"/>
          <w:color w:val="auto"/>
          <w:spacing w:val="-4"/>
          <w:sz w:val="32"/>
          <w:szCs w:val="32"/>
          <w:highlight w:val="none"/>
        </w:rPr>
      </w:pPr>
    </w:p>
    <w:p>
      <w:pPr>
        <w:spacing w:line="540" w:lineRule="exact"/>
        <w:ind w:firstLine="640"/>
        <w:rPr>
          <w:rStyle w:val="25"/>
          <w:rFonts w:eastAsia="黑体"/>
          <w:bCs w:val="0"/>
          <w:color w:val="auto"/>
          <w:spacing w:val="-4"/>
          <w:sz w:val="32"/>
          <w:szCs w:val="32"/>
          <w:highlight w:val="none"/>
        </w:rPr>
      </w:pPr>
    </w:p>
    <w:p>
      <w:pPr>
        <w:spacing w:line="540" w:lineRule="exact"/>
        <w:ind w:firstLine="640"/>
        <w:rPr>
          <w:rStyle w:val="25"/>
          <w:rFonts w:eastAsia="黑体"/>
          <w:bCs w:val="0"/>
          <w:color w:val="auto"/>
          <w:spacing w:val="-4"/>
          <w:sz w:val="32"/>
          <w:szCs w:val="32"/>
          <w:highlight w:val="none"/>
        </w:rPr>
      </w:pPr>
    </w:p>
    <w:p>
      <w:pPr>
        <w:spacing w:line="540" w:lineRule="exact"/>
        <w:ind w:firstLine="640"/>
        <w:rPr>
          <w:rStyle w:val="25"/>
          <w:rFonts w:eastAsia="黑体"/>
          <w:bCs w:val="0"/>
          <w:color w:val="auto"/>
          <w:spacing w:val="-4"/>
          <w:sz w:val="32"/>
          <w:szCs w:val="32"/>
          <w:highlight w:val="none"/>
        </w:rPr>
      </w:pPr>
    </w:p>
    <w:p>
      <w:pPr>
        <w:spacing w:line="540" w:lineRule="exact"/>
        <w:rPr>
          <w:rStyle w:val="25"/>
          <w:rFonts w:eastAsia="仿宋"/>
          <w:b w:val="0"/>
          <w:color w:val="auto"/>
          <w:spacing w:val="-4"/>
          <w:sz w:val="32"/>
          <w:szCs w:val="32"/>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8"/>
    <w:family w:val="roman"/>
    <w:pitch w:val="default"/>
    <w:sig w:usb0="00000000" w:usb1="00000000" w:usb2="00000009" w:usb3="00000000" w:csb0="400001FF" w:csb1="FFFF0000"/>
  </w:font>
  <w:font w:name="宋体">
    <w:altName w:val="方正书宋_GBK"/>
    <w:panose1 w:val="02010600030101010101"/>
    <w:charset w:val="34"/>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99628"/>
    <w:multiLevelType w:val="singleLevel"/>
    <w:tmpl w:val="9AF99628"/>
    <w:lvl w:ilvl="0" w:tentative="0">
      <w:start w:val="1"/>
      <w:numFmt w:val="decimal"/>
      <w:pStyle w:val="3"/>
      <w:lvlText w:val="%1."/>
      <w:lvlJc w:val="left"/>
      <w:pPr>
        <w:tabs>
          <w:tab w:val="left" w:pos="2040"/>
        </w:tabs>
        <w:ind w:left="2040" w:hanging="360"/>
      </w:pPr>
    </w:lvl>
  </w:abstractNum>
  <w:abstractNum w:abstractNumId="1">
    <w:nsid w:val="9D3D2FA9"/>
    <w:multiLevelType w:val="singleLevel"/>
    <w:tmpl w:val="9D3D2FA9"/>
    <w:lvl w:ilvl="0" w:tentative="0">
      <w:start w:val="6"/>
      <w:numFmt w:val="chineseCounting"/>
      <w:suff w:val="nothing"/>
      <w:lvlText w:val="%1、"/>
      <w:lvlJc w:val="left"/>
      <w:rPr>
        <w:rFonts w:hint="eastAsia"/>
      </w:rPr>
    </w:lvl>
  </w:abstractNum>
  <w:abstractNum w:abstractNumId="2">
    <w:nsid w:val="CC2C1860"/>
    <w:multiLevelType w:val="singleLevel"/>
    <w:tmpl w:val="CC2C1860"/>
    <w:lvl w:ilvl="0" w:tentative="0">
      <w:start w:val="1"/>
      <w:numFmt w:val="lowerLetter"/>
      <w:lvlText w:val="%1."/>
      <w:lvlJc w:val="left"/>
      <w:pPr>
        <w:tabs>
          <w:tab w:val="left" w:pos="312"/>
        </w:tabs>
      </w:pPr>
    </w:lvl>
  </w:abstractNum>
  <w:abstractNum w:abstractNumId="3">
    <w:nsid w:val="DEF60FE1"/>
    <w:multiLevelType w:val="singleLevel"/>
    <w:tmpl w:val="DEF60FE1"/>
    <w:lvl w:ilvl="0" w:tentative="0">
      <w:start w:val="1"/>
      <w:numFmt w:val="decimal"/>
      <w:suff w:val="nothing"/>
      <w:lvlText w:val="（%1）"/>
      <w:lvlJc w:val="left"/>
    </w:lvl>
  </w:abstractNum>
  <w:abstractNum w:abstractNumId="4">
    <w:nsid w:val="E83853AE"/>
    <w:multiLevelType w:val="singleLevel"/>
    <w:tmpl w:val="E83853AE"/>
    <w:lvl w:ilvl="0" w:tentative="0">
      <w:start w:val="2"/>
      <w:numFmt w:val="decimal"/>
      <w:suff w:val="nothing"/>
      <w:lvlText w:val="%1、"/>
      <w:lvlJc w:val="left"/>
    </w:lvl>
  </w:abstractNum>
  <w:abstractNum w:abstractNumId="5">
    <w:nsid w:val="FF9379A8"/>
    <w:multiLevelType w:val="singleLevel"/>
    <w:tmpl w:val="FF9379A8"/>
    <w:lvl w:ilvl="0" w:tentative="0">
      <w:start w:val="2"/>
      <w:numFmt w:val="chineseCounting"/>
      <w:suff w:val="nothing"/>
      <w:lvlText w:val="（%1）"/>
      <w:lvlJc w:val="left"/>
      <w:rPr>
        <w:rFonts w:hint="eastAsia"/>
      </w:rPr>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abstractNum w:abstractNumId="7">
    <w:nsid w:val="27813159"/>
    <w:multiLevelType w:val="singleLevel"/>
    <w:tmpl w:val="27813159"/>
    <w:lvl w:ilvl="0" w:tentative="0">
      <w:start w:val="3"/>
      <w:numFmt w:val="chineseCounting"/>
      <w:suff w:val="nothing"/>
      <w:lvlText w:val="（%1）"/>
      <w:lvlJc w:val="left"/>
      <w:rPr>
        <w:rFonts w:hint="eastAsia"/>
      </w:rPr>
    </w:lvl>
  </w:abstractNum>
  <w:abstractNum w:abstractNumId="8">
    <w:nsid w:val="38F0C646"/>
    <w:multiLevelType w:val="singleLevel"/>
    <w:tmpl w:val="38F0C646"/>
    <w:lvl w:ilvl="0" w:tentative="0">
      <w:start w:val="1"/>
      <w:numFmt w:val="decimal"/>
      <w:suff w:val="nothing"/>
      <w:lvlText w:val="%1、"/>
      <w:lvlJc w:val="left"/>
    </w:lvl>
  </w:abstractNum>
  <w:num w:numId="1">
    <w:abstractNumId w:val="0"/>
  </w:num>
  <w:num w:numId="2">
    <w:abstractNumId w:val="4"/>
  </w:num>
  <w:num w:numId="3">
    <w:abstractNumId w:val="3"/>
  </w:num>
  <w:num w:numId="4">
    <w:abstractNumId w:val="7"/>
  </w:num>
  <w:num w:numId="5">
    <w:abstractNumId w:val="8"/>
  </w:num>
  <w:num w:numId="6">
    <w:abstractNumId w:val="6"/>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Q3ZTMzZmM1MGE1NTFjNDJmMjQ4NjBjNzhlOGRlYzkifQ=="/>
    <w:docVar w:name="KSO_WPS_MARK_KEY" w:val="3b0b91b7-e3f6-4435-944c-f2d23e328ac3"/>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26F2561"/>
    <w:rsid w:val="051A56F5"/>
    <w:rsid w:val="066D6EAA"/>
    <w:rsid w:val="06DC1681"/>
    <w:rsid w:val="08C662D4"/>
    <w:rsid w:val="09BD4D95"/>
    <w:rsid w:val="0B0F58D6"/>
    <w:rsid w:val="0DE97F2D"/>
    <w:rsid w:val="0E3705F2"/>
    <w:rsid w:val="0E5D7E02"/>
    <w:rsid w:val="0F8D41CB"/>
    <w:rsid w:val="0FEE2F21"/>
    <w:rsid w:val="11C75270"/>
    <w:rsid w:val="12637CC3"/>
    <w:rsid w:val="12E657C5"/>
    <w:rsid w:val="133C6E2A"/>
    <w:rsid w:val="14297368"/>
    <w:rsid w:val="167C7687"/>
    <w:rsid w:val="168B3546"/>
    <w:rsid w:val="180207AC"/>
    <w:rsid w:val="184239FC"/>
    <w:rsid w:val="19092FB4"/>
    <w:rsid w:val="1A2374E0"/>
    <w:rsid w:val="1C317CE2"/>
    <w:rsid w:val="1DD45808"/>
    <w:rsid w:val="1DED42AC"/>
    <w:rsid w:val="20005763"/>
    <w:rsid w:val="20FB313D"/>
    <w:rsid w:val="220B4804"/>
    <w:rsid w:val="26CB584C"/>
    <w:rsid w:val="26F93597"/>
    <w:rsid w:val="27133AE9"/>
    <w:rsid w:val="278B653F"/>
    <w:rsid w:val="282475E3"/>
    <w:rsid w:val="29E421D9"/>
    <w:rsid w:val="2BD946A8"/>
    <w:rsid w:val="2C6100C1"/>
    <w:rsid w:val="31443B13"/>
    <w:rsid w:val="3235157C"/>
    <w:rsid w:val="3264220D"/>
    <w:rsid w:val="32A83563"/>
    <w:rsid w:val="33712943"/>
    <w:rsid w:val="33B07C97"/>
    <w:rsid w:val="3555654B"/>
    <w:rsid w:val="38872456"/>
    <w:rsid w:val="3963178C"/>
    <w:rsid w:val="3B2E7228"/>
    <w:rsid w:val="3BA5236D"/>
    <w:rsid w:val="3CED0699"/>
    <w:rsid w:val="3EB02FD6"/>
    <w:rsid w:val="3EFF3686"/>
    <w:rsid w:val="41CC2676"/>
    <w:rsid w:val="45AA3A7F"/>
    <w:rsid w:val="46875502"/>
    <w:rsid w:val="46B21672"/>
    <w:rsid w:val="46B62ACF"/>
    <w:rsid w:val="489D65DB"/>
    <w:rsid w:val="48EC6565"/>
    <w:rsid w:val="49586D4C"/>
    <w:rsid w:val="4C9D1BF6"/>
    <w:rsid w:val="4F552460"/>
    <w:rsid w:val="4FCC6863"/>
    <w:rsid w:val="500A214A"/>
    <w:rsid w:val="522D604D"/>
    <w:rsid w:val="5297585E"/>
    <w:rsid w:val="52AD7D6F"/>
    <w:rsid w:val="530A54F1"/>
    <w:rsid w:val="534F7AD0"/>
    <w:rsid w:val="54666B6D"/>
    <w:rsid w:val="54B13499"/>
    <w:rsid w:val="5549519D"/>
    <w:rsid w:val="5557596B"/>
    <w:rsid w:val="5B596DFC"/>
    <w:rsid w:val="5D027BBA"/>
    <w:rsid w:val="5DAE6D00"/>
    <w:rsid w:val="5DF03945"/>
    <w:rsid w:val="5E2F0AFA"/>
    <w:rsid w:val="5F03526B"/>
    <w:rsid w:val="5FE62A2D"/>
    <w:rsid w:val="60344B00"/>
    <w:rsid w:val="61D2367E"/>
    <w:rsid w:val="61D7591F"/>
    <w:rsid w:val="62E515AF"/>
    <w:rsid w:val="637C2815"/>
    <w:rsid w:val="63BE5809"/>
    <w:rsid w:val="666B4FDC"/>
    <w:rsid w:val="66BA082A"/>
    <w:rsid w:val="67FF13C8"/>
    <w:rsid w:val="682144B7"/>
    <w:rsid w:val="688F4171"/>
    <w:rsid w:val="68FA7ED7"/>
    <w:rsid w:val="6A285D27"/>
    <w:rsid w:val="6B503F77"/>
    <w:rsid w:val="6CD01233"/>
    <w:rsid w:val="6DBF12B9"/>
    <w:rsid w:val="6E311968"/>
    <w:rsid w:val="71F456D4"/>
    <w:rsid w:val="73A360CA"/>
    <w:rsid w:val="787B0FD6"/>
    <w:rsid w:val="7A353D0B"/>
    <w:rsid w:val="7BD545C3"/>
    <w:rsid w:val="7CB927D8"/>
    <w:rsid w:val="7D214C09"/>
    <w:rsid w:val="7D3A5E2F"/>
    <w:rsid w:val="7F9A1AED"/>
    <w:rsid w:val="823D10A4"/>
    <w:rsid w:val="D7DE5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5">
    <w:name w:val="heading 2"/>
    <w:basedOn w:val="1"/>
    <w:next w:val="1"/>
    <w:link w:val="28"/>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6">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7">
    <w:name w:val="heading 4"/>
    <w:basedOn w:val="1"/>
    <w:next w:val="1"/>
    <w:link w:val="30"/>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8">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9">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0">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qFormat/>
    <w:uiPriority w:val="0"/>
    <w:pPr>
      <w:spacing w:before="100" w:beforeAutospacing="1" w:after="100" w:afterAutospacing="1"/>
      <w:jc w:val="left"/>
    </w:pPr>
    <w:rPr>
      <w:rFonts w:ascii="宋体" w:hAnsi="宋体"/>
      <w:sz w:val="24"/>
    </w:rPr>
  </w:style>
  <w:style w:type="paragraph" w:styleId="3">
    <w:name w:val="List Number 5"/>
    <w:basedOn w:val="1"/>
    <w:semiHidden/>
    <w:unhideWhenUsed/>
    <w:qFormat/>
    <w:uiPriority w:val="99"/>
    <w:pPr>
      <w:numPr>
        <w:ilvl w:val="0"/>
        <w:numId w:val="1"/>
      </w:numPr>
    </w:pPr>
  </w:style>
  <w:style w:type="paragraph" w:styleId="13">
    <w:name w:val="Body Text"/>
    <w:basedOn w:val="1"/>
    <w:next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2"/>
    <w:semiHidden/>
    <w:unhideWhenUsed/>
    <w:qFormat/>
    <w:uiPriority w:val="99"/>
    <w:rPr>
      <w:sz w:val="18"/>
      <w:szCs w:val="18"/>
    </w:rPr>
  </w:style>
  <w:style w:type="paragraph" w:styleId="16">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1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0">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1">
    <w:name w:val="Body Text First Indent"/>
    <w:basedOn w:val="13"/>
    <w:qFormat/>
    <w:uiPriority w:val="0"/>
    <w:pPr>
      <w:spacing w:after="0"/>
      <w:ind w:firstLine="200" w:firstLineChars="200"/>
    </w:pPr>
  </w:style>
  <w:style w:type="paragraph" w:styleId="22">
    <w:name w:val="Body Text First Indent 2"/>
    <w:basedOn w:val="14"/>
    <w:qFormat/>
    <w:uiPriority w:val="0"/>
    <w:pPr>
      <w:ind w:firstLine="420" w:firstLineChars="200"/>
    </w:pPr>
  </w:style>
  <w:style w:type="character" w:styleId="25">
    <w:name w:val="Strong"/>
    <w:basedOn w:val="24"/>
    <w:qFormat/>
    <w:uiPriority w:val="0"/>
    <w:rPr>
      <w:b/>
      <w:bCs/>
    </w:rPr>
  </w:style>
  <w:style w:type="character" w:styleId="26">
    <w:name w:val="Emphasis"/>
    <w:basedOn w:val="24"/>
    <w:qFormat/>
    <w:uiPriority w:val="20"/>
    <w:rPr>
      <w:rFonts w:asciiTheme="minorHAnsi" w:hAnsiTheme="minorHAnsi"/>
      <w:b/>
      <w:i/>
      <w:iCs/>
    </w:rPr>
  </w:style>
  <w:style w:type="character" w:customStyle="1" w:styleId="27">
    <w:name w:val="标题 1 字符"/>
    <w:basedOn w:val="24"/>
    <w:link w:val="4"/>
    <w:qFormat/>
    <w:uiPriority w:val="9"/>
    <w:rPr>
      <w:rFonts w:asciiTheme="majorHAnsi" w:hAnsiTheme="majorHAnsi" w:eastAsiaTheme="majorEastAsia"/>
      <w:b/>
      <w:bCs/>
      <w:kern w:val="32"/>
      <w:sz w:val="32"/>
      <w:szCs w:val="32"/>
    </w:rPr>
  </w:style>
  <w:style w:type="character" w:customStyle="1" w:styleId="28">
    <w:name w:val="标题 2 字符"/>
    <w:basedOn w:val="24"/>
    <w:link w:val="5"/>
    <w:semiHidden/>
    <w:qFormat/>
    <w:uiPriority w:val="9"/>
    <w:rPr>
      <w:rFonts w:asciiTheme="majorHAnsi" w:hAnsiTheme="majorHAnsi" w:eastAsiaTheme="majorEastAsia"/>
      <w:b/>
      <w:bCs/>
      <w:i/>
      <w:iCs/>
      <w:sz w:val="28"/>
      <w:szCs w:val="28"/>
    </w:rPr>
  </w:style>
  <w:style w:type="character" w:customStyle="1" w:styleId="29">
    <w:name w:val="标题 3 字符"/>
    <w:basedOn w:val="24"/>
    <w:link w:val="6"/>
    <w:semiHidden/>
    <w:qFormat/>
    <w:uiPriority w:val="9"/>
    <w:rPr>
      <w:rFonts w:asciiTheme="majorHAnsi" w:hAnsiTheme="majorHAnsi" w:eastAsiaTheme="majorEastAsia"/>
      <w:b/>
      <w:bCs/>
      <w:sz w:val="26"/>
      <w:szCs w:val="26"/>
    </w:rPr>
  </w:style>
  <w:style w:type="character" w:customStyle="1" w:styleId="30">
    <w:name w:val="标题 4 字符"/>
    <w:basedOn w:val="24"/>
    <w:link w:val="7"/>
    <w:semiHidden/>
    <w:qFormat/>
    <w:uiPriority w:val="9"/>
    <w:rPr>
      <w:b/>
      <w:bCs/>
      <w:sz w:val="28"/>
      <w:szCs w:val="28"/>
    </w:rPr>
  </w:style>
  <w:style w:type="character" w:customStyle="1" w:styleId="31">
    <w:name w:val="标题 5 字符"/>
    <w:basedOn w:val="24"/>
    <w:link w:val="8"/>
    <w:semiHidden/>
    <w:qFormat/>
    <w:uiPriority w:val="9"/>
    <w:rPr>
      <w:b/>
      <w:bCs/>
      <w:i/>
      <w:iCs/>
      <w:sz w:val="26"/>
      <w:szCs w:val="26"/>
    </w:rPr>
  </w:style>
  <w:style w:type="character" w:customStyle="1" w:styleId="32">
    <w:name w:val="标题 6 字符"/>
    <w:basedOn w:val="24"/>
    <w:link w:val="9"/>
    <w:semiHidden/>
    <w:qFormat/>
    <w:uiPriority w:val="9"/>
    <w:rPr>
      <w:b/>
      <w:bCs/>
    </w:rPr>
  </w:style>
  <w:style w:type="character" w:customStyle="1" w:styleId="33">
    <w:name w:val="标题 7 字符"/>
    <w:basedOn w:val="24"/>
    <w:link w:val="10"/>
    <w:semiHidden/>
    <w:qFormat/>
    <w:uiPriority w:val="9"/>
    <w:rPr>
      <w:sz w:val="24"/>
      <w:szCs w:val="24"/>
    </w:rPr>
  </w:style>
  <w:style w:type="character" w:customStyle="1" w:styleId="34">
    <w:name w:val="标题 8 字符"/>
    <w:basedOn w:val="24"/>
    <w:link w:val="11"/>
    <w:semiHidden/>
    <w:qFormat/>
    <w:uiPriority w:val="9"/>
    <w:rPr>
      <w:i/>
      <w:iCs/>
      <w:sz w:val="24"/>
      <w:szCs w:val="24"/>
    </w:rPr>
  </w:style>
  <w:style w:type="character" w:customStyle="1" w:styleId="35">
    <w:name w:val="标题 9 字符"/>
    <w:basedOn w:val="24"/>
    <w:link w:val="12"/>
    <w:semiHidden/>
    <w:qFormat/>
    <w:uiPriority w:val="9"/>
    <w:rPr>
      <w:rFonts w:asciiTheme="majorHAnsi" w:hAnsiTheme="majorHAnsi" w:eastAsiaTheme="majorEastAsia"/>
    </w:rPr>
  </w:style>
  <w:style w:type="character" w:customStyle="1" w:styleId="36">
    <w:name w:val="标题 字符"/>
    <w:basedOn w:val="24"/>
    <w:link w:val="20"/>
    <w:qFormat/>
    <w:uiPriority w:val="10"/>
    <w:rPr>
      <w:rFonts w:asciiTheme="majorHAnsi" w:hAnsiTheme="majorHAnsi" w:eastAsiaTheme="majorEastAsia"/>
      <w:b/>
      <w:bCs/>
      <w:kern w:val="28"/>
      <w:sz w:val="32"/>
      <w:szCs w:val="32"/>
    </w:rPr>
  </w:style>
  <w:style w:type="character" w:customStyle="1" w:styleId="37">
    <w:name w:val="副标题 字符"/>
    <w:basedOn w:val="24"/>
    <w:link w:val="18"/>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4"/>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4"/>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4"/>
    <w:qFormat/>
    <w:uiPriority w:val="21"/>
    <w:rPr>
      <w:b/>
      <w:i/>
      <w:sz w:val="24"/>
      <w:szCs w:val="24"/>
      <w:u w:val="single"/>
    </w:rPr>
  </w:style>
  <w:style w:type="character" w:customStyle="1" w:styleId="46">
    <w:name w:val="不明显参考1"/>
    <w:basedOn w:val="24"/>
    <w:qFormat/>
    <w:uiPriority w:val="31"/>
    <w:rPr>
      <w:sz w:val="24"/>
      <w:szCs w:val="24"/>
      <w:u w:val="single"/>
    </w:rPr>
  </w:style>
  <w:style w:type="character" w:customStyle="1" w:styleId="47">
    <w:name w:val="明显参考1"/>
    <w:basedOn w:val="24"/>
    <w:qFormat/>
    <w:uiPriority w:val="32"/>
    <w:rPr>
      <w:b/>
      <w:sz w:val="24"/>
      <w:u w:val="single"/>
    </w:rPr>
  </w:style>
  <w:style w:type="character" w:customStyle="1" w:styleId="48">
    <w:name w:val="书籍标题1"/>
    <w:basedOn w:val="24"/>
    <w:qFormat/>
    <w:uiPriority w:val="33"/>
    <w:rPr>
      <w:rFonts w:asciiTheme="majorHAnsi" w:hAnsiTheme="majorHAnsi" w:eastAsiaTheme="majorEastAsia"/>
      <w:b/>
      <w:i/>
      <w:sz w:val="24"/>
      <w:szCs w:val="24"/>
    </w:rPr>
  </w:style>
  <w:style w:type="paragraph" w:customStyle="1" w:styleId="49">
    <w:name w:val="TOC 标题1"/>
    <w:basedOn w:val="4"/>
    <w:next w:val="1"/>
    <w:semiHidden/>
    <w:unhideWhenUsed/>
    <w:qFormat/>
    <w:uiPriority w:val="39"/>
    <w:pPr>
      <w:outlineLvl w:val="9"/>
    </w:pPr>
    <w:rPr>
      <w:lang w:eastAsia="en-US" w:bidi="en-US"/>
    </w:rPr>
  </w:style>
  <w:style w:type="character" w:customStyle="1" w:styleId="50">
    <w:name w:val="页眉 字符"/>
    <w:basedOn w:val="24"/>
    <w:link w:val="17"/>
    <w:qFormat/>
    <w:uiPriority w:val="99"/>
    <w:rPr>
      <w:rFonts w:ascii="Calibri" w:hAnsi="Calibri" w:eastAsia="宋体"/>
      <w:kern w:val="2"/>
      <w:sz w:val="18"/>
      <w:szCs w:val="18"/>
    </w:rPr>
  </w:style>
  <w:style w:type="character" w:customStyle="1" w:styleId="51">
    <w:name w:val="页脚 字符"/>
    <w:basedOn w:val="24"/>
    <w:link w:val="16"/>
    <w:qFormat/>
    <w:uiPriority w:val="99"/>
    <w:rPr>
      <w:rFonts w:ascii="Calibri" w:hAnsi="Calibri" w:eastAsia="宋体"/>
      <w:kern w:val="2"/>
      <w:sz w:val="18"/>
      <w:szCs w:val="18"/>
    </w:rPr>
  </w:style>
  <w:style w:type="character" w:customStyle="1" w:styleId="52">
    <w:name w:val="批注框文本 字符"/>
    <w:basedOn w:val="24"/>
    <w:link w:val="15"/>
    <w:semiHidden/>
    <w:qFormat/>
    <w:uiPriority w:val="99"/>
    <w:rPr>
      <w:rFonts w:ascii="Times New Roman" w:hAnsi="Times New Roman" w:eastAsia="宋体"/>
      <w:kern w:val="2"/>
      <w:sz w:val="18"/>
      <w:szCs w:val="18"/>
    </w:rPr>
  </w:style>
  <w:style w:type="paragraph" w:customStyle="1" w:styleId="5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4">
    <w:name w:val="fontstyle01"/>
    <w:qFormat/>
    <w:uiPriority w:val="0"/>
    <w:rPr>
      <w:rFonts w:ascii="仿宋_GB2312" w:hAnsi="仿宋_GB2312" w:eastAsia="仿宋_GB2312" w:cs="仿宋_GB2312"/>
      <w:color w:val="000000"/>
      <w:sz w:val="32"/>
      <w:szCs w:val="32"/>
    </w:rPr>
  </w:style>
  <w:style w:type="paragraph" w:customStyle="1" w:styleId="55">
    <w:name w:val="TOAHeading"/>
    <w:basedOn w:val="1"/>
    <w:next w:val="1"/>
    <w:qFormat/>
    <w:uiPriority w:val="0"/>
    <w:pPr>
      <w:spacing w:before="120"/>
    </w:pPr>
    <w:rPr>
      <w:rFonts w:ascii="Arial" w:hAnsi="Arial"/>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3948</Words>
  <Characters>4029</Characters>
  <Lines>50</Lines>
  <Paragraphs>14</Paragraphs>
  <TotalTime>3</TotalTime>
  <ScaleCrop>false</ScaleCrop>
  <LinksUpToDate>false</LinksUpToDate>
  <CharactersWithSpaces>4037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2020-07-05T16:35:00Z</dcterms:created>
  <dc:creator>赵 恺（预算处）</dc:creator>
  <cp:lastModifiedBy>user</cp:lastModifiedBy>
  <cp:lastPrinted>2023-02-01T01:48:00Z</cp:lastPrinted>
  <dcterms:modified xsi:type="dcterms:W3CDTF">2025-09-01T18:19:21Z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013360FACCE1418B80C968824022A9DF</vt:lpwstr>
  </property>
  <property fmtid="{D5CDD505-2E9C-101B-9397-08002B2CF9AE}" pid="4" name="KSOSaveFontToCloudKey">
    <vt:lpwstr>0_btnclosed</vt:lpwstr>
  </property>
  <property fmtid="{D5CDD505-2E9C-101B-9397-08002B2CF9AE}" pid="5" name="KSOTemplateDocerSaveRecord">
    <vt:lpwstr>eyJoZGlkIjoiMmQ3ZTMzZmM1MGE1NTFjNDJmMjQ4NjBjNzhlOGRlYzkifQ==</vt:lpwstr>
  </property>
</Properties>
</file>